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C23E6" w14:textId="77777777" w:rsidR="00E25C4B" w:rsidRDefault="00FA3DE4" w:rsidP="003346C0">
      <w:pPr>
        <w:pStyle w:val="Title"/>
      </w:pPr>
      <w:r>
        <w:t>Adaptive Grammatical Control in Multilingual Academic Writing: An Integrative Review with Vietnamese EFL Illustrations</w:t>
      </w:r>
    </w:p>
    <w:p w14:paraId="069D7820" w14:textId="77777777" w:rsidR="0041490C" w:rsidRPr="0041490C" w:rsidRDefault="0041490C" w:rsidP="0041490C">
      <w:r w:rsidRPr="0041490C">
        <w:t>Vo Tan Thanh</w:t>
      </w:r>
      <w:r w:rsidRPr="0041490C">
        <w:rPr>
          <w:vertAlign w:val="superscript"/>
        </w:rPr>
        <w:t>1*</w:t>
      </w:r>
    </w:p>
    <w:p w14:paraId="62162363" w14:textId="77777777" w:rsidR="0041490C" w:rsidRPr="0041490C" w:rsidRDefault="0041490C" w:rsidP="0041490C"/>
    <w:p w14:paraId="06587CE9" w14:textId="77777777" w:rsidR="0041490C" w:rsidRPr="0041490C" w:rsidRDefault="0041490C" w:rsidP="0041490C"/>
    <w:p w14:paraId="0BBCB85C" w14:textId="221DE66D" w:rsidR="0041490C" w:rsidRPr="0041490C" w:rsidRDefault="0041490C" w:rsidP="0041490C">
      <w:pPr>
        <w:rPr>
          <w:i/>
          <w:iCs/>
        </w:rPr>
      </w:pPr>
      <w:r w:rsidRPr="0041490C">
        <w:rPr>
          <w:i/>
          <w:vertAlign w:val="superscript"/>
        </w:rPr>
        <w:t>1</w:t>
      </w:r>
      <w:r w:rsidR="00017C67">
        <w:rPr>
          <w:i/>
        </w:rPr>
        <w:t>Hoa Sen University</w:t>
      </w:r>
    </w:p>
    <w:p w14:paraId="61F9605C" w14:textId="77777777" w:rsidR="0041490C" w:rsidRPr="0041490C" w:rsidRDefault="0041490C" w:rsidP="0041490C">
      <w:pPr>
        <w:rPr>
          <w:i/>
          <w:iCs/>
        </w:rPr>
      </w:pPr>
    </w:p>
    <w:p w14:paraId="65870DCE" w14:textId="76CF9419" w:rsidR="0041490C" w:rsidRPr="0041490C" w:rsidRDefault="0041490C" w:rsidP="0041490C">
      <w:r w:rsidRPr="0041490C">
        <w:t>*Corresponding author email: thanhvotan.vtt@gmail.com</w:t>
      </w:r>
    </w:p>
    <w:p w14:paraId="1549FE22" w14:textId="77777777" w:rsidR="00193BB5" w:rsidRDefault="00193BB5"/>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4E0696" w:rsidRPr="00E92161" w14:paraId="6DD40A27" w14:textId="77777777" w:rsidTr="00450A15">
        <w:trPr>
          <w:jc w:val="center"/>
        </w:trPr>
        <w:tc>
          <w:tcPr>
            <w:tcW w:w="9371" w:type="dxa"/>
            <w:gridSpan w:val="2"/>
            <w:tcMar>
              <w:top w:w="57" w:type="dxa"/>
              <w:left w:w="0" w:type="dxa"/>
              <w:bottom w:w="57" w:type="dxa"/>
              <w:right w:w="0" w:type="dxa"/>
            </w:tcMar>
            <w:vAlign w:val="center"/>
          </w:tcPr>
          <w:p w14:paraId="52A70E14" w14:textId="77777777" w:rsidR="00187E5B" w:rsidRDefault="00000000">
            <w:r>
              <w:rPr>
                <w:b/>
              </w:rPr>
              <w:t>Abstract</w:t>
            </w:r>
          </w:p>
        </w:tc>
      </w:tr>
      <w:tr w:rsidR="004E0696" w:rsidRPr="00E92161" w14:paraId="76328AAD" w14:textId="77777777" w:rsidTr="00450A15">
        <w:trPr>
          <w:jc w:val="center"/>
        </w:trPr>
        <w:tc>
          <w:tcPr>
            <w:tcW w:w="9371" w:type="dxa"/>
            <w:gridSpan w:val="2"/>
            <w:tcMar>
              <w:top w:w="57" w:type="dxa"/>
              <w:left w:w="0" w:type="dxa"/>
              <w:bottom w:w="57" w:type="dxa"/>
              <w:right w:w="0" w:type="dxa"/>
            </w:tcMar>
            <w:vAlign w:val="center"/>
          </w:tcPr>
          <w:p w14:paraId="7A9661CA" w14:textId="77777777" w:rsidR="00187E5B" w:rsidRDefault="00000000">
            <w:r>
              <w:rPr>
                <w:i/>
              </w:rPr>
              <w:t>Grammatical accuracy in multilingual academic writing is commonly treated either as a surface error count or as a broad proxy for overall writing quality. Both approaches weaken construct validity and make it difficult to distinguish a polished text from durable language development. This theory-driven integrative review proposes adaptive grammatical control as a bounded construct referring to writers’ capacity to select, realize, monitor, and transfer grammatical resources across academic tasks with progressively less external support. A purposive corpus of 40 publications was synthesized through construct comparison, mechanism mapping, counterevidence analysis, and contextual interpretation; 82.5% of the sources were published between 2021 and 2026, and 97.5% were journal articles. The review identifies four layers: formal grammatical accuracy, discourse-functional grammatical control, genre-conditioned deployment, and broader rhetorical-disciplinary effectiveness. Only the first two constitute the core construct. Findings further distinguish antecedents, learning mechanisms, mediators, moderators, immediate performance, retention, and transfer. Written feedback and generative artificial intelligence are positioned as potentially useful supports whose developmental value depends on active uptake and later unassisted performance. Vietnamese EFL higher education is used as an illustrative case rather than the empirical foundation of the model. The review concludes with six testable propositions and a measurement architecture for separating textual accuracy, processing, supported performance, retention, and cross-task transfer.</w:t>
            </w:r>
          </w:p>
        </w:tc>
      </w:tr>
      <w:tr w:rsidR="004E0696" w:rsidRPr="00E92161" w14:paraId="174C1831" w14:textId="77777777" w:rsidTr="00450A15">
        <w:trPr>
          <w:jc w:val="center"/>
        </w:trPr>
        <w:tc>
          <w:tcPr>
            <w:tcW w:w="1701" w:type="dxa"/>
            <w:tcMar>
              <w:top w:w="57" w:type="dxa"/>
              <w:left w:w="0" w:type="dxa"/>
              <w:bottom w:w="57" w:type="dxa"/>
              <w:right w:w="0" w:type="dxa"/>
            </w:tcMar>
            <w:vAlign w:val="center"/>
          </w:tcPr>
          <w:p w14:paraId="0BFEF846" w14:textId="77777777" w:rsidR="00187E5B" w:rsidRDefault="00000000">
            <w:r>
              <w:rPr>
                <w:b/>
              </w:rPr>
              <w:t>Keywords</w:t>
            </w:r>
          </w:p>
        </w:tc>
        <w:tc>
          <w:tcPr>
            <w:tcW w:w="7670" w:type="dxa"/>
            <w:tcMar>
              <w:top w:w="57" w:type="dxa"/>
              <w:left w:w="0" w:type="dxa"/>
              <w:bottom w:w="57" w:type="dxa"/>
              <w:right w:w="0" w:type="dxa"/>
            </w:tcMar>
            <w:vAlign w:val="center"/>
          </w:tcPr>
          <w:p w14:paraId="4F875EC9" w14:textId="77777777" w:rsidR="00187E5B" w:rsidRDefault="00000000">
            <w:r>
              <w:t>academic writing, grammatical accuracy, generative AI, multilingual writers, written feedback</w:t>
            </w:r>
          </w:p>
        </w:tc>
      </w:tr>
    </w:tbl>
    <w:p w14:paraId="7F78D400" w14:textId="77777777" w:rsidR="00187E5B" w:rsidRDefault="00000000">
      <w:pPr>
        <w:pStyle w:val="Heading1"/>
        <w:keepNext/>
        <w:spacing w:before="200" w:after="100"/>
      </w:pPr>
      <w:r>
        <w:t>INTRODUCTION</w:t>
      </w:r>
    </w:p>
    <w:p w14:paraId="5969FDFB" w14:textId="77777777" w:rsidR="00187E5B" w:rsidRDefault="00000000">
      <w:pPr>
        <w:spacing w:after="120"/>
      </w:pPr>
      <w:r>
        <w:t>English-medium and English-dominant academic communication now shapes undergraduate assessment, graduate education, international mobility, and research publication. For multilingual writers, the challenge is not merely learning grammatical rules but coordinating linguistic resources with disciplinary tasks, feedback systems, genre expectations, and increasingly complex digital tools. Recent reviews of English-medium higher education continue to identify productive language skills and academic writing as uneven outcomes, even when students gain receptive language experience through English-medium study (Rose et al., 2026). Writing-support research likewise shows that effective provision is usually discipline-sensitive, sustained, and integrated with supervisory or curricular practices rather than limited to generic remediation (Lin &amp; Morrison, 2021; Lu &amp; Fu, 2026).</w:t>
      </w:r>
    </w:p>
    <w:p w14:paraId="52417B4C" w14:textId="77777777" w:rsidR="00187E5B" w:rsidRDefault="00000000">
      <w:pPr>
        <w:spacing w:after="120"/>
      </w:pPr>
      <w:r>
        <w:t xml:space="preserve">Grammatical accuracy remains central within this environment, but its meaning is unstable. Some studies operationalize accuracy through error ratios, error-free units, or target-like use, whereas </w:t>
      </w:r>
      <w:r>
        <w:lastRenderedPageBreak/>
        <w:t>writing assessment also draws on syntactic complexity, cohesion, genre realization, and holistic quality. Recent work demonstrates that linguistic features contribute differently across genres and scoring dimensions, which means that an accurate sentence cannot by itself establish effective academic writing and a high holistic score cannot be interpreted as grammatical development (Lan et al., 2022; Zhang et al., 2022). The problem is therefore inferential: researchers and teachers often move too quickly from a feature observed in one text to a claim about development, transfer, or academic competence.</w:t>
      </w:r>
    </w:p>
    <w:p w14:paraId="3523E8C7" w14:textId="77777777" w:rsidR="00187E5B" w:rsidRDefault="00000000">
      <w:pPr>
        <w:spacing w:after="120"/>
      </w:pPr>
      <w:r>
        <w:t>A second tension concerns norms. Error correction has historically been organized around stable target norms, yet multilingual academic communication is characterized by variation, disciplinary diversity, and unequal access to editorial support. A Global Englishes perspective cautions against treating every departure from a dominant model as a deficit and recommends greater attention to intelligibility, function, and multilingual legitimacy (Lee, 2023). Critical and translingual scholarship similarly emphasizes writers’ rhetorical agency and the need to distinguish consequential language problems from stylistic preferences or native-speaker bias (Rabbi, 2023; Sun, 2023). These arguments do not make grammar irrelevant. Instead, they require operational criteria for deciding when a grammatical choice affects meaning, reference, processing, genre function, or participation.</w:t>
      </w:r>
    </w:p>
    <w:p w14:paraId="3DA5EFC9" w14:textId="77777777" w:rsidR="00187E5B" w:rsidRDefault="00000000">
      <w:pPr>
        <w:spacing w:after="120"/>
      </w:pPr>
      <w:r>
        <w:t>Written corrective feedback remains one of the most researched responses to grammatical difficulty. The long-standing disagreement between positions favoring correction and those questioning its developmental value continues to influence the field (Ferris, 1999; Truscott, 1996). Contemporary research, however, has shifted from the binary question of whether feedback works to conditional questions about target structures, feedback scope, learner engagement, revision opportunities, and delayed transfer. Reviews of naturalistic classrooms and recent empirical studies indicate that feedback outcomes depend on how learners interpret, evaluate, and reuse information, rather than on feedback provision alone (Mao &amp; Lee, 2022; Mao et al., 2024; Nguyen &amp; Chu, 2024; Wang, 2024). Engagement also varies across teacher, peer, automated, and genre-specific feedback sources (Chen et al., 2023; Cheng et al., 2023; Shi, 2021; Zhang &amp; Hyland, 2023).</w:t>
      </w:r>
    </w:p>
    <w:p w14:paraId="21ECD587" w14:textId="77777777" w:rsidR="00187E5B" w:rsidRDefault="00000000">
      <w:pPr>
        <w:spacing w:after="120"/>
      </w:pPr>
      <w:r>
        <w:t>Generative artificial intelligence intensifies the need for sharper inference. AI systems can detect errors, explain alternatives, reformulate sentences, or generate entire passages. These functions are not educationally equivalent. Studies of ChatGPT-assisted L2 writing report potential benefits for feedback speed, revision, and writing performance, but they also identify inconsistency, under-detection, generic feedback, hallucination, dependency, and blurred authorship (Mahapatra, 2024; Mizumoto et al., 2024; Pfau et al., 2023; Yan &amp; Zhang, 2024). Critical generative-AI literacy therefore requires writers to verify suggestions, retain decision authority, and demonstrate later performance without substituted text (Ou et al., 2024; Saricaoglu &amp; Bilki, 2025; Sun, 2024; Wang, 2025; Warschauer et al., 2023).</w:t>
      </w:r>
    </w:p>
    <w:p w14:paraId="15C857EA" w14:textId="77777777" w:rsidR="00187E5B" w:rsidRDefault="00000000">
      <w:pPr>
        <w:spacing w:after="120"/>
      </w:pPr>
      <w:r>
        <w:t xml:space="preserve">Vietnamese EFL higher education offers a useful illustrative context. Recent studies identify recurring grammatical difficulties, culturally mediated expectations, and information-packaging patterns in Vietnamese university writing, while also showing that learner agency and instructional conditions affect responses to corrective feedback (Le, 2023; Pham, 2023; Trinh &amp; Pho, 2024, 2026). These studies do not justify a single national learner profile, nor do Vietnamese-English contrasts directly cause errors. Their theoretical value lies in revealing interactions among language resources, genre familiarity, assessment traditions, feedback capacity, and access to </w:t>
      </w:r>
      <w:r>
        <w:lastRenderedPageBreak/>
        <w:t>academic support. Similar mechanisms may occur in other multilingual systems, but cross-context transfer must be treated as a proposition to be tested rather than a conclusion already established.</w:t>
      </w:r>
    </w:p>
    <w:p w14:paraId="41E16481" w14:textId="77777777" w:rsidR="00187E5B" w:rsidRDefault="00000000">
      <w:pPr>
        <w:spacing w:after="120"/>
      </w:pPr>
      <w:r>
        <w:t>Against this background, the review addresses four questions: (1) How should adaptive grammatical control be defined and bounded? (2) Which mechanisms and conditions can explain movement from observed error to delayed, unassisted transfer? (3) How should textual outcomes, feedback processing, supported performance, retention, and transfer be measured without construct contamination? and (4) How can Vietnamese EFL evidence inform internationally relevant hypotheses without being overgeneralized? The contribution is a layered construct, a recursive explanatory model, operational decision criteria, and six falsifiable propositions. The framework is intended to guide research design and instructional reasoning; it is not presented as an empirically validated causal model.</w:t>
      </w:r>
    </w:p>
    <w:p w14:paraId="7ED9810D" w14:textId="77777777" w:rsidR="00187E5B" w:rsidRDefault="00000000">
      <w:pPr>
        <w:spacing w:after="120"/>
      </w:pPr>
      <w:r>
        <w:t>Academic writing programs can improve overall performance, but gains in accuracy and complexity are smaller and more variable than gains in holistic scores (Lee &amp; Lee, 2023). Writers may learn assignment conventions while still relying on editors, templates, or digital tools for local language control; conversely, they may know grammatical rules yet fail to deploy them while managing disciplinary content and sources. A useful construct must therefore distinguish internalized control from context-sensitive deployment and record the support under which a polished text was produced.</w:t>
      </w:r>
    </w:p>
    <w:p w14:paraId="7938C7E8" w14:textId="77777777" w:rsidR="00187E5B" w:rsidRDefault="00000000">
      <w:pPr>
        <w:pStyle w:val="Heading1"/>
        <w:keepNext/>
        <w:spacing w:before="200" w:after="100"/>
      </w:pPr>
      <w:r>
        <w:t>METHODOLOGY</w:t>
      </w:r>
    </w:p>
    <w:p w14:paraId="1259F69C" w14:textId="77777777" w:rsidR="00187E5B" w:rsidRDefault="00000000">
      <w:pPr>
        <w:pStyle w:val="Heading2"/>
        <w:keepNext/>
        <w:spacing w:before="160" w:after="80"/>
      </w:pPr>
      <w:r>
        <w:t>Research design and documents</w:t>
      </w:r>
    </w:p>
    <w:p w14:paraId="205684BB" w14:textId="77777777" w:rsidR="00187E5B" w:rsidRDefault="00000000">
      <w:pPr>
        <w:spacing w:after="120"/>
      </w:pPr>
      <w:r>
        <w:t>The study used a theory-driven integrative review. This design was selected because the problem spans second-language acquisition, L2 writing assessment, written feedback, academic literacies, genre, multilingual norms, English-medium higher education, and AI-mediated writing. The purpose was construct clarification and explanatory synthesis rather than pooled effect estimation. The unit of analysis was the published document, including empirical journal articles, state-of-the-art reviews, meta-analyses, and a small number of foundational theoretical publications.</w:t>
      </w:r>
    </w:p>
    <w:p w14:paraId="322ECD68" w14:textId="77777777" w:rsidR="00187E5B" w:rsidRDefault="00000000">
      <w:pPr>
        <w:spacing w:after="120"/>
      </w:pPr>
      <w:r>
        <w:t>The final corpus contained 40 publications. To comply with the journal’s recency and source-quality expectations, 33 sources (82.5%) were published from 2021 through 2026, and 39 sources (97.5%) were peer-reviewed journal articles. Seven older publications were retained because they introduced concepts that remain necessary for the argument: learner error and interlanguage, noticing, pushed output, the written corrective feedback controversy, and the measurement of linguistic accuracy (Corder, 1967; Ferris, 1999; Polio, 1997; Schmidt, 1990; Selinker, 1972; Swain, 1985; Truscott, 1996). These foundational works were used to define historical constructs rather than to represent the current evidence base.</w:t>
      </w:r>
    </w:p>
    <w:p w14:paraId="488ACF98" w14:textId="77777777" w:rsidR="00187E5B" w:rsidRDefault="00000000">
      <w:pPr>
        <w:pStyle w:val="Heading2"/>
        <w:keepNext/>
        <w:spacing w:before="160" w:after="80"/>
      </w:pPr>
      <w:r>
        <w:t>Data collection and selection</w:t>
      </w:r>
    </w:p>
    <w:p w14:paraId="104AD8A2" w14:textId="77777777" w:rsidR="00187E5B" w:rsidRDefault="00000000">
      <w:pPr>
        <w:spacing w:after="120"/>
      </w:pPr>
      <w:r>
        <w:t>Documents were identified through ERIC, Crossref metadata, publisher platforms, reference chaining, and targeted searches conducted during July 2026. Search combinations included grammatical accuracy, linguistic accuracy, L2 writing, written corrective feedback, feedback engagement, academic writing, genre pedagogy, multilingual writing, English-medium higher education, generative AI, ChatGPT, automated feedback, Vietnam, and Vietnamese EFL. The principal inclusion window was 2021-2026. Earlier studies were retained only when they provided a foundational construct that could not be replaced by a recent synthesis.</w:t>
      </w:r>
    </w:p>
    <w:p w14:paraId="22656D3C" w14:textId="77777777" w:rsidR="00187E5B" w:rsidRDefault="00000000">
      <w:pPr>
        <w:spacing w:after="120"/>
      </w:pPr>
      <w:r>
        <w:lastRenderedPageBreak/>
        <w:t>A source was included when it contributed directly to at least one analytical domain: construct definition, developmental mechanism, feedback and engagement, measurement, genre and disciplinary variation, multilingual norms, AI-supported writing, higher-education support, or Vietnamese EFL evidence. Sources were excluded when they addressed general writing motivation without a grammatical or academic-writing connection, provided only opinion without an identifiable analytical contribution, duplicated evidence already represented by a stronger review, or lacked verifiable bibliographic information. Vietnamese studies were located through targeted title and keyword searches and were included only when they provided evidence relevant to grammatical patterns, academic-writing practices, feedback, or information packaging.</w:t>
      </w:r>
    </w:p>
    <w:p w14:paraId="281C5AFC" w14:textId="77777777" w:rsidR="00187E5B" w:rsidRDefault="00000000">
      <w:pPr>
        <w:pStyle w:val="Heading2"/>
        <w:keepNext/>
        <w:spacing w:before="160" w:after="80"/>
      </w:pPr>
      <w:r>
        <w:t>Data analysis</w:t>
      </w:r>
    </w:p>
    <w:p w14:paraId="62DB3443" w14:textId="77777777" w:rsidR="00187E5B" w:rsidRDefault="00000000">
      <w:pPr>
        <w:spacing w:after="120"/>
      </w:pPr>
      <w:r>
        <w:t>Each publication was coded in a structured matrix for construct definition, unit of analysis, proposed mechanism, type of evidence, time scale, degree of learner support, contextual moderator, and permitted inference. The analysis proceeded in four stages. First, adjacent constructs were compared to identify overlap and exclusion boundaries. Second, theoretical roles were assigned to antecedents, mechanisms, mediators, moderators, outcomes, and boundary conditions. Third, counterexamples were used to test whether the framework could accommodate learning without explicit correction, effective multilingual variation, and accurate products produced through external support. Fourth, the Vietnamese evidence was analyzed as an illustrative case and compared with broader international findings.</w:t>
      </w:r>
    </w:p>
    <w:p w14:paraId="0E70C975" w14:textId="77777777" w:rsidR="00187E5B" w:rsidRDefault="00000000">
      <w:pPr>
        <w:spacing w:after="120"/>
      </w:pPr>
      <w:r>
        <w:t>The synthesis was conducted by one author. Interpretive risk was reduced through a prespecified coding structure, explicit inclusion criteria, citation-reference auditing, and deliberate retention of counterevidence. The review remains purposive rather than exhaustive; no formal risk-of-bias instrument or pooled statistical model was used.</w:t>
      </w:r>
    </w:p>
    <w:p w14:paraId="17ED3C30" w14:textId="77777777" w:rsidR="00187E5B" w:rsidRDefault="00000000">
      <w:pPr>
        <w:spacing w:after="120"/>
      </w:pPr>
      <w:r>
        <w:t>Analytical adequacy was assessed through coverage rather than statistical saturation. Each domain required a recent synthesis or review, multiple empirical or conceptual contributions, and evidence capable of challenging the emerging interpretation. Additional searches addressed three possible imbalances: overreliance on written corrective feedback, overgeneralization from Asian EFL settings, and the equation of AI-assisted product quality with learner development. The final corpus was audited for complete citation-reference correspondence and DOI information.</w:t>
      </w:r>
    </w:p>
    <w:p w14:paraId="032AB723" w14:textId="77777777" w:rsidR="00187E5B" w:rsidRDefault="00000000">
      <w:pPr>
        <w:spacing w:after="120"/>
      </w:pPr>
      <w:r>
        <w:t>AI use disclosure. No generative AI was used to identify or select sources, extract evidence, code publications, or determine the review’s interpretations. ChatGPT was used solely for language editing and document formatting. The author independently verified the revised wording, citations, references, and scholarly claims and remains fully responsible for the manuscript.</w:t>
      </w:r>
    </w:p>
    <w:p w14:paraId="18C067F3" w14:textId="77777777" w:rsidR="00187E5B" w:rsidRDefault="00000000">
      <w:pPr>
        <w:pStyle w:val="Heading1"/>
        <w:keepNext/>
        <w:spacing w:before="200" w:after="100"/>
      </w:pPr>
      <w:r>
        <w:t>FINDINGS</w:t>
      </w:r>
    </w:p>
    <w:p w14:paraId="28608B88" w14:textId="77777777" w:rsidR="00187E5B" w:rsidRDefault="00000000">
      <w:pPr>
        <w:pStyle w:val="Heading2"/>
        <w:keepNext/>
        <w:spacing w:before="160" w:after="80"/>
      </w:pPr>
      <w:r>
        <w:t>Defining and delimiting adaptive grammatical control</w:t>
      </w:r>
    </w:p>
    <w:p w14:paraId="1AD59801" w14:textId="77777777" w:rsidR="00187E5B" w:rsidRDefault="00000000">
      <w:pPr>
        <w:spacing w:after="120"/>
      </w:pPr>
      <w:r>
        <w:t xml:space="preserve">Adaptive grammatical control is defined here as a writer’s context-sensitive capacity to select, realize, monitor, repair, and transfer grammatical resources so that propositional meaning and discourse relations remain interpretable across target academic tasks, with progressively less dependence on external assistance. The construct is developmental and performance-sensitive. It therefore differs from the possession of declarative rules, the production of one polished text, and general communicative success. Error analysis and interlanguage theory establish that learner forms are systematic and developmental rather than random failures (Corder, 1967; Selinker, </w:t>
      </w:r>
      <w:r>
        <w:lastRenderedPageBreak/>
        <w:t>1972), while accuracy measurement research warns that a single index cannot sustain broad developmental claims (Polio, 1997).</w:t>
      </w:r>
    </w:p>
    <w:p w14:paraId="0F352FAA" w14:textId="77777777" w:rsidR="00187E5B" w:rsidRDefault="00000000">
      <w:pPr>
        <w:spacing w:after="120"/>
      </w:pPr>
      <w:r>
        <w:t>Four dimensions are necessary for a robust inference. Formal realization concerns morphology, syntax, agreement, articles, verb forms, and sentence boundaries. Discourse-functional control concerns reference chains, tense patterning, clause relations, information flow, and the grammatical realization of stance. Monitoring and repair concern the writer’s capacity to recognize and reconstruct problematic choices. Delayed transfer concerns the reuse of grammatical resources in a later task under reduced or absent assistance. No single dimension is sufficient. A low error rate may reflect avoidance, task simplification, intensive editing, machine reformulation, or a restricted opportunity to use the target feature.</w:t>
      </w:r>
    </w:p>
    <w:p w14:paraId="0672434F" w14:textId="77777777" w:rsidR="00187E5B" w:rsidRDefault="00000000">
      <w:pPr>
        <w:spacing w:after="120"/>
      </w:pPr>
      <w:r>
        <w:t>A layered model prevents grammatical accuracy from absorbing the whole of academic writing. Layers 1 and 2 constitute the core of adaptive grammatical control. Layer 3, genre-conditioned deployment, concerns the selection of grammatical resources for recurrent rhetorical purposes. Layer 4, broader academic effectiveness, concerns argument quality, evidence, disciplinary credibility, and audience response. Grammar contributes to the upper layers but does not determine them. Recent genre and writing-quality research supports this separation by showing that linguistic features operate differently across genres and score dimensions (Acar, 2023; Lee &amp; Lee, 2023; Zhang et al., 2022).</w:t>
      </w:r>
    </w:p>
    <w:p w14:paraId="688CEA2A" w14:textId="77777777" w:rsidR="00187E5B" w:rsidRDefault="00000000">
      <w:pPr>
        <w:keepNext/>
        <w:spacing w:before="120" w:after="60"/>
      </w:pPr>
      <w:r>
        <w:rPr>
          <w:b/>
        </w:rPr>
        <w:t xml:space="preserve">Table 1. </w:t>
      </w:r>
      <w:r>
        <w:rPr>
          <w:i/>
        </w:rPr>
        <w:t>Adaptive grammatical control and adjacent constructs</w:t>
      </w:r>
    </w:p>
    <w:tbl>
      <w:tblPr>
        <w:tblStyle w:val="TableGrid"/>
        <w:tblW w:w="0" w:type="auto"/>
        <w:jc w:val="center"/>
        <w:tblLook w:val="04A0" w:firstRow="1" w:lastRow="0" w:firstColumn="1" w:lastColumn="0" w:noHBand="0" w:noVBand="1"/>
      </w:tblPr>
      <w:tblGrid>
        <w:gridCol w:w="2256"/>
        <w:gridCol w:w="2256"/>
        <w:gridCol w:w="2256"/>
        <w:gridCol w:w="2256"/>
      </w:tblGrid>
      <w:tr w:rsidR="000F5529" w14:paraId="0863F996" w14:textId="77777777">
        <w:trPr>
          <w:tblHeader/>
          <w:jc w:val="center"/>
        </w:trPr>
        <w:tc>
          <w:tcPr>
            <w:tcW w:w="2256" w:type="dxa"/>
            <w:tcBorders>
              <w:top w:val="single" w:sz="8" w:space="0" w:color="000000"/>
              <w:left w:val="single" w:sz="4" w:space="0" w:color="000000"/>
              <w:bottom w:val="single" w:sz="8" w:space="0" w:color="000000"/>
              <w:right w:val="single" w:sz="4" w:space="0" w:color="000000"/>
            </w:tcBorders>
            <w:shd w:val="clear" w:color="auto" w:fill="FFFFFF"/>
            <w:tcMar>
              <w:top w:w="50" w:type="dxa"/>
              <w:left w:w="60" w:type="dxa"/>
              <w:bottom w:w="50" w:type="dxa"/>
              <w:right w:w="60" w:type="dxa"/>
            </w:tcMar>
            <w:vAlign w:val="center"/>
          </w:tcPr>
          <w:p w14:paraId="01003D81" w14:textId="77777777" w:rsidR="008C5A6C" w:rsidRDefault="00000000">
            <w:r>
              <w:rPr>
                <w:rFonts w:eastAsia="Times New Roman"/>
                <w:b/>
                <w:sz w:val="18"/>
              </w:rPr>
              <w:t>Construct</w:t>
            </w:r>
          </w:p>
        </w:tc>
        <w:tc>
          <w:tcPr>
            <w:tcW w:w="2256" w:type="dxa"/>
            <w:tcBorders>
              <w:top w:val="single" w:sz="8" w:space="0" w:color="000000"/>
              <w:left w:val="single" w:sz="4" w:space="0" w:color="000000"/>
              <w:bottom w:val="single" w:sz="8" w:space="0" w:color="000000"/>
              <w:right w:val="single" w:sz="4" w:space="0" w:color="000000"/>
            </w:tcBorders>
            <w:shd w:val="clear" w:color="auto" w:fill="FFFFFF"/>
            <w:tcMar>
              <w:top w:w="50" w:type="dxa"/>
              <w:left w:w="60" w:type="dxa"/>
              <w:bottom w:w="50" w:type="dxa"/>
              <w:right w:w="60" w:type="dxa"/>
            </w:tcMar>
            <w:vAlign w:val="center"/>
          </w:tcPr>
          <w:p w14:paraId="01443517" w14:textId="77777777" w:rsidR="008C5A6C" w:rsidRDefault="00000000">
            <w:r>
              <w:rPr>
                <w:rFonts w:eastAsia="Times New Roman"/>
                <w:b/>
                <w:sz w:val="18"/>
              </w:rPr>
              <w:t>Defining question</w:t>
            </w:r>
          </w:p>
        </w:tc>
        <w:tc>
          <w:tcPr>
            <w:tcW w:w="2256" w:type="dxa"/>
            <w:tcBorders>
              <w:top w:val="single" w:sz="8" w:space="0" w:color="000000"/>
              <w:left w:val="single" w:sz="4" w:space="0" w:color="000000"/>
              <w:bottom w:val="single" w:sz="8" w:space="0" w:color="000000"/>
              <w:right w:val="single" w:sz="4" w:space="0" w:color="000000"/>
            </w:tcBorders>
            <w:shd w:val="clear" w:color="auto" w:fill="FFFFFF"/>
            <w:tcMar>
              <w:top w:w="50" w:type="dxa"/>
              <w:left w:w="60" w:type="dxa"/>
              <w:bottom w:w="50" w:type="dxa"/>
              <w:right w:w="60" w:type="dxa"/>
            </w:tcMar>
            <w:vAlign w:val="center"/>
          </w:tcPr>
          <w:p w14:paraId="30B561D0" w14:textId="77777777" w:rsidR="008C5A6C" w:rsidRDefault="00000000">
            <w:r>
              <w:rPr>
                <w:rFonts w:eastAsia="Times New Roman"/>
                <w:b/>
                <w:sz w:val="18"/>
              </w:rPr>
              <w:t>Relation to adaptive grammatical control</w:t>
            </w:r>
          </w:p>
        </w:tc>
        <w:tc>
          <w:tcPr>
            <w:tcW w:w="2256" w:type="dxa"/>
            <w:tcBorders>
              <w:top w:val="single" w:sz="8" w:space="0" w:color="000000"/>
              <w:left w:val="single" w:sz="4" w:space="0" w:color="000000"/>
              <w:bottom w:val="single" w:sz="8" w:space="0" w:color="000000"/>
              <w:right w:val="single" w:sz="4" w:space="0" w:color="000000"/>
            </w:tcBorders>
            <w:shd w:val="clear" w:color="auto" w:fill="FFFFFF"/>
            <w:tcMar>
              <w:top w:w="50" w:type="dxa"/>
              <w:left w:w="60" w:type="dxa"/>
              <w:bottom w:w="50" w:type="dxa"/>
              <w:right w:w="60" w:type="dxa"/>
            </w:tcMar>
            <w:vAlign w:val="center"/>
          </w:tcPr>
          <w:p w14:paraId="39763F37" w14:textId="77777777" w:rsidR="008C5A6C" w:rsidRDefault="00000000">
            <w:r>
              <w:rPr>
                <w:rFonts w:eastAsia="Times New Roman"/>
                <w:b/>
                <w:sz w:val="18"/>
              </w:rPr>
              <w:t>Observable evidence or exclusion</w:t>
            </w:r>
          </w:p>
        </w:tc>
      </w:tr>
      <w:tr w:rsidR="000F5529" w14:paraId="21D8E731" w14:textId="77777777">
        <w:trPr>
          <w:cantSplit/>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7E6AAE21" w14:textId="77777777" w:rsidR="008C5A6C" w:rsidRDefault="00000000">
            <w:r>
              <w:rPr>
                <w:rFonts w:eastAsia="Times New Roman"/>
                <w:sz w:val="18"/>
              </w:rPr>
              <w:t>Grammatical knowledge</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5DA7227F" w14:textId="77777777" w:rsidR="008C5A6C" w:rsidRDefault="00000000">
            <w:r>
              <w:rPr>
                <w:rFonts w:eastAsia="Times New Roman"/>
                <w:sz w:val="18"/>
              </w:rPr>
              <w:t>What formal resources are available to the writer?</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6FE33B60" w14:textId="77777777" w:rsidR="008C5A6C" w:rsidRDefault="00000000">
            <w:r>
              <w:rPr>
                <w:rFonts w:eastAsia="Times New Roman"/>
                <w:sz w:val="18"/>
              </w:rPr>
              <w:t>Necessary knowledge base but insufficient for adaptive use</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7B69B886" w14:textId="77777777" w:rsidR="008C5A6C" w:rsidRDefault="00000000">
            <w:r>
              <w:rPr>
                <w:rFonts w:eastAsia="Times New Roman"/>
                <w:sz w:val="18"/>
              </w:rPr>
              <w:t>Rule explanation or accurate use under tightly controlled conditions</w:t>
            </w:r>
          </w:p>
        </w:tc>
      </w:tr>
      <w:tr w:rsidR="000F5529" w14:paraId="6D091494" w14:textId="77777777">
        <w:trPr>
          <w:cantSplit/>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1929F5AE" w14:textId="77777777" w:rsidR="008C5A6C" w:rsidRDefault="00000000">
            <w:r>
              <w:rPr>
                <w:rFonts w:eastAsia="Times New Roman"/>
                <w:sz w:val="18"/>
              </w:rPr>
              <w:t>Adaptive grammatical control</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79C2D47F" w14:textId="77777777" w:rsidR="008C5A6C" w:rsidRDefault="00000000">
            <w:r>
              <w:rPr>
                <w:rFonts w:eastAsia="Times New Roman"/>
                <w:sz w:val="18"/>
              </w:rPr>
              <w:t>Can the writer select, realize, monitor, repair, and transfer grammar with decreasing support?</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425F067F" w14:textId="77777777" w:rsidR="008C5A6C" w:rsidRDefault="00000000">
            <w:r>
              <w:rPr>
                <w:rFonts w:eastAsia="Times New Roman"/>
                <w:sz w:val="18"/>
              </w:rPr>
              <w:t>Focal construct</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52890170" w14:textId="77777777" w:rsidR="008C5A6C" w:rsidRDefault="00000000">
            <w:r>
              <w:rPr>
                <w:rFonts w:eastAsia="Times New Roman"/>
                <w:sz w:val="18"/>
              </w:rPr>
              <w:t>Repeated formal and discourse-functional performance, repair, retention, and transfer</w:t>
            </w:r>
          </w:p>
        </w:tc>
      </w:tr>
      <w:tr w:rsidR="000F5529" w14:paraId="5AA569E5" w14:textId="77777777">
        <w:trPr>
          <w:cantSplit/>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10676B61" w14:textId="77777777" w:rsidR="008C5A6C" w:rsidRDefault="00000000">
            <w:r>
              <w:rPr>
                <w:rFonts w:eastAsia="Times New Roman"/>
                <w:sz w:val="18"/>
              </w:rPr>
              <w:t>Communicative competence</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6A8F1438" w14:textId="77777777" w:rsidR="008C5A6C" w:rsidRDefault="00000000">
            <w:r>
              <w:rPr>
                <w:rFonts w:eastAsia="Times New Roman"/>
                <w:sz w:val="18"/>
              </w:rPr>
              <w:t>Can language be used effectively and appropriately in communication?</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0E079A17" w14:textId="77777777" w:rsidR="008C5A6C" w:rsidRDefault="00000000">
            <w:r>
              <w:rPr>
                <w:rFonts w:eastAsia="Times New Roman"/>
                <w:sz w:val="18"/>
              </w:rPr>
              <w:t>Broader umbrella extending beyond grammar</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54AF0D7D" w14:textId="77777777" w:rsidR="008C5A6C" w:rsidRDefault="00000000">
            <w:r>
              <w:rPr>
                <w:rFonts w:eastAsia="Times New Roman"/>
                <w:sz w:val="18"/>
              </w:rPr>
              <w:t>Overall success cannot be attributed to grammar alone</w:t>
            </w:r>
          </w:p>
        </w:tc>
      </w:tr>
      <w:tr w:rsidR="000F5529" w14:paraId="78C2D6BB" w14:textId="77777777">
        <w:trPr>
          <w:cantSplit/>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16DC6F34" w14:textId="77777777" w:rsidR="008C5A6C" w:rsidRDefault="00000000">
            <w:r>
              <w:rPr>
                <w:rFonts w:eastAsia="Times New Roman"/>
                <w:sz w:val="18"/>
              </w:rPr>
              <w:t>Genre competence</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21A2DEC8" w14:textId="77777777" w:rsidR="008C5A6C" w:rsidRDefault="00000000">
            <w:r>
              <w:rPr>
                <w:rFonts w:eastAsia="Times New Roman"/>
                <w:sz w:val="18"/>
              </w:rPr>
              <w:t>Can the writer enact a recognized genre using content, formal, process, and rhetorical knowledge?</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00495DAD" w14:textId="77777777" w:rsidR="008C5A6C" w:rsidRDefault="00000000">
            <w:r>
              <w:rPr>
                <w:rFonts w:eastAsia="Times New Roman"/>
                <w:sz w:val="18"/>
              </w:rPr>
              <w:t>Conditions selection and transfer</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199B601C" w14:textId="77777777" w:rsidR="008C5A6C" w:rsidRDefault="00000000">
            <w:r>
              <w:rPr>
                <w:rFonts w:eastAsia="Times New Roman"/>
                <w:sz w:val="18"/>
              </w:rPr>
              <w:t>Genre success is not itself evidence of grammatical development</w:t>
            </w:r>
          </w:p>
        </w:tc>
      </w:tr>
      <w:tr w:rsidR="000F5529" w14:paraId="05D3239D" w14:textId="77777777">
        <w:trPr>
          <w:cantSplit/>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65B4B3DB" w14:textId="77777777" w:rsidR="008C5A6C" w:rsidRDefault="00000000">
            <w:r>
              <w:rPr>
                <w:rFonts w:eastAsia="Times New Roman"/>
                <w:sz w:val="18"/>
              </w:rPr>
              <w:t>Learner agency and self-regulation</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6064C893" w14:textId="77777777" w:rsidR="008C5A6C" w:rsidRDefault="00000000">
            <w:r>
              <w:rPr>
                <w:rFonts w:eastAsia="Times New Roman"/>
                <w:sz w:val="18"/>
              </w:rPr>
              <w:t>Can the writer set goals, evaluate feedback, seek evidence, and make decisions?</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156F9E73" w14:textId="77777777" w:rsidR="008C5A6C" w:rsidRDefault="00000000">
            <w:r>
              <w:rPr>
                <w:rFonts w:eastAsia="Times New Roman"/>
                <w:sz w:val="18"/>
              </w:rPr>
              <w:t>Moderator and mechanism of uptake, not a grammatical component</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761E5C98" w14:textId="77777777" w:rsidR="008C5A6C" w:rsidRDefault="00000000">
            <w:r>
              <w:rPr>
                <w:rFonts w:eastAsia="Times New Roman"/>
                <w:sz w:val="18"/>
              </w:rPr>
              <w:t>Verification, justified adoption or rejection, strategic resource use</w:t>
            </w:r>
          </w:p>
        </w:tc>
      </w:tr>
      <w:tr w:rsidR="000F5529" w14:paraId="0EC79A9B" w14:textId="77777777">
        <w:trPr>
          <w:cantSplit/>
          <w:jc w:val="center"/>
        </w:trPr>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100A0332" w14:textId="77777777" w:rsidR="008C5A6C" w:rsidRDefault="00000000">
            <w:r>
              <w:rPr>
                <w:rFonts w:eastAsia="Times New Roman"/>
                <w:sz w:val="18"/>
              </w:rPr>
              <w:t>Rhetorical-disciplinary effectiveness</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6B2961BD" w14:textId="77777777" w:rsidR="008C5A6C" w:rsidRDefault="00000000">
            <w:r>
              <w:rPr>
                <w:rFonts w:eastAsia="Times New Roman"/>
                <w:sz w:val="18"/>
              </w:rPr>
              <w:t>Does the text persuade and meet disciplinary expectations?</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2D9781ED" w14:textId="77777777" w:rsidR="008C5A6C" w:rsidRDefault="00000000">
            <w:r>
              <w:rPr>
                <w:rFonts w:eastAsia="Times New Roman"/>
                <w:sz w:val="18"/>
              </w:rPr>
              <w:t>Downstream outcome influenced by multiple constructs</w:t>
            </w:r>
          </w:p>
        </w:tc>
        <w:tc>
          <w:tcPr>
            <w:tcW w:w="2256"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28603B17" w14:textId="77777777" w:rsidR="008C5A6C" w:rsidRDefault="00000000">
            <w:r>
              <w:rPr>
                <w:rFonts w:eastAsia="Times New Roman"/>
                <w:sz w:val="18"/>
              </w:rPr>
              <w:t>Argument, evidence, novelty, and credibility remain outside grammar</w:t>
            </w:r>
          </w:p>
        </w:tc>
      </w:tr>
    </w:tbl>
    <w:p w14:paraId="1A82D718" w14:textId="77777777" w:rsidR="00187E5B" w:rsidRDefault="00000000">
      <w:pPr>
        <w:keepNext/>
        <w:spacing w:before="120" w:after="60"/>
      </w:pPr>
      <w:r>
        <w:rPr>
          <w:b/>
        </w:rPr>
        <w:lastRenderedPageBreak/>
        <w:t xml:space="preserve">Figure 1. </w:t>
      </w:r>
      <w:r>
        <w:rPr>
          <w:i/>
        </w:rPr>
        <w:t>Layered construct map and boundary of adaptive grammatical control</w:t>
      </w:r>
    </w:p>
    <w:p w14:paraId="288282B2" w14:textId="77777777" w:rsidR="00187E5B" w:rsidRDefault="00000000">
      <w:pPr>
        <w:spacing w:after="120"/>
        <w:jc w:val="center"/>
      </w:pPr>
      <w:r>
        <w:rPr>
          <w:noProof/>
        </w:rPr>
        <w:drawing>
          <wp:inline distT="0" distB="0" distL="0" distR="0" wp14:anchorId="0F6DA160" wp14:editId="7BD4A8DA">
            <wp:extent cx="4297680" cy="28120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a:stretch>
                      <a:fillRect/>
                    </a:stretch>
                  </pic:blipFill>
                  <pic:spPr>
                    <a:xfrm>
                      <a:off x="0" y="0"/>
                      <a:ext cx="4297680" cy="2812062"/>
                    </a:xfrm>
                    <a:prstGeom prst="rect">
                      <a:avLst/>
                    </a:prstGeom>
                  </pic:spPr>
                </pic:pic>
              </a:graphicData>
            </a:graphic>
          </wp:inline>
        </w:drawing>
      </w:r>
    </w:p>
    <w:p w14:paraId="31DCAB60" w14:textId="77777777" w:rsidR="00187E5B" w:rsidRDefault="00000000">
      <w:pPr>
        <w:pStyle w:val="Heading2"/>
        <w:keepNext/>
        <w:spacing w:before="160" w:after="80"/>
      </w:pPr>
      <w:r>
        <w:t>Operational boundaries and consequentiality</w:t>
      </w:r>
    </w:p>
    <w:p w14:paraId="79A74B00" w14:textId="77777777" w:rsidR="00187E5B" w:rsidRDefault="00000000">
      <w:pPr>
        <w:spacing w:after="120"/>
      </w:pPr>
      <w:r>
        <w:t>Operational judgment requires more than a correct-incorrect binary. A deviation should first be classified by linguistic status and then by consequence. A consequential grammatical problem changes propositional meaning, creates unresolved ambiguity, disrupts reference, obscures a logical relation, produces substantial processing burden, or conflicts with a recurrent genre function. A register mismatch may be grammatical but unsuitable for the target situation. A disciplinary convention is supported by recurrent exemplars in a community. A stylistic preference is an alternative with limited effect on meaning or function. Editorial conservatism and native-speaker preference should not be relabeled as grammatical error.</w:t>
      </w:r>
    </w:p>
    <w:p w14:paraId="21F549FF" w14:textId="77777777" w:rsidR="00187E5B" w:rsidRDefault="00000000">
      <w:pPr>
        <w:spacing w:after="120"/>
      </w:pPr>
      <w:r>
        <w:t>Seven questions make this distinction auditable: Does the form alter the intended proposition? Does it make reference uncertain? Does it obscure a temporal, causal, or contrastive relation? Does it impose substantial processing burden? Is the judgment supported across disciplinary exemplars rather than one evaluator’s preference? Is the alternative accepted among proficient multilingual users? Is the issue a grammatical rule, a genre convention, a register choice, or a stylistic preference? This decision process responds to recent calls to broaden feedback on language use while preserving attention to consequential form-function relations (Lee, 2023; Rabbi, 2023; Sun, 2023).</w:t>
      </w:r>
    </w:p>
    <w:p w14:paraId="5A246D03" w14:textId="77777777" w:rsidR="00187E5B" w:rsidRDefault="00000000">
      <w:pPr>
        <w:spacing w:after="120"/>
      </w:pPr>
      <w:r>
        <w:t>Formal accuracy and discourse-functional appropriateness also require different validation procedures. Formal coding can use explicit error taxonomies and obligatory contexts. Discourse-functional coding requires genre-specific criteria, annotated examples, trained raters, and separate reliability reporting. The same grammatical feature may be entirely well formed but functionally weak in one rhetorical context and effective in another. Genre pedagogy can support such judgments by linking linguistic choices to recurrent communicative purposes and by making assessment criteria visible to learners (Acar, 2023).</w:t>
      </w:r>
    </w:p>
    <w:p w14:paraId="427700D4" w14:textId="77777777" w:rsidR="00187E5B" w:rsidRDefault="00000000">
      <w:pPr>
        <w:pStyle w:val="Heading2"/>
        <w:keepNext/>
        <w:spacing w:before="160" w:after="80"/>
      </w:pPr>
      <w:r>
        <w:t>Explanatory mechanisms, feedback, and counterevidence</w:t>
      </w:r>
    </w:p>
    <w:p w14:paraId="6A679EB4" w14:textId="77777777" w:rsidR="00187E5B" w:rsidRDefault="00000000">
      <w:pPr>
        <w:spacing w:after="120"/>
      </w:pPr>
      <w:r>
        <w:t xml:space="preserve">The explanatory model contains five linked elements: diagnostic evidence, selective attention, pushed production, feedback with active uptake, and delayed unassisted transfer. These elements </w:t>
      </w:r>
      <w:r>
        <w:lastRenderedPageBreak/>
        <w:t>are not an obligatory linear sequence. Diagnostic evidence is an antecedent that improves target selection. Attention and gap recognition are candidate learning mechanisms. Pushed production provides an opportunity to test a linguistic hypothesis and notice limitations in available resources (Schmidt, 1990; Swain, 1985). Active uptake mediates the relation between external information and later performance. Delayed transfer is the principal developmental outcome.</w:t>
      </w:r>
    </w:p>
    <w:p w14:paraId="2440497E" w14:textId="77777777" w:rsidR="00187E5B" w:rsidRDefault="00000000">
      <w:pPr>
        <w:spacing w:after="120"/>
      </w:pPr>
      <w:r>
        <w:t>The model’s contribution lies in assigning theoretical roles that additive pedagogical cycles often leave unspecified. Learner agency, feedback literacy, proficiency, language background, task complexity, genre familiarity, and institutional opportunity are moderators or boundary conditions. Immediate revision is a proximal performance outcome, not proof of acquisition. A learner may enter the process through different routes: noticing may occur before formal diagnosis, revision may arise through peer dialogue, and repeated exposure may strengthen patterns without explicit metalinguistic explanation. New-task performance updates the diagnosis, making the model recursive.</w:t>
      </w:r>
    </w:p>
    <w:p w14:paraId="5150220A" w14:textId="77777777" w:rsidR="00187E5B" w:rsidRDefault="00000000">
      <w:pPr>
        <w:spacing w:after="120"/>
      </w:pPr>
      <w:r>
        <w:t>Contemporary feedback research supports conditional rather than universal claims. Engagement varies across teacher, peer, automated, and genre-specific sources, and incorporation does not necessarily reveal deep processing (Chen et al., 2023; Cheng et al., 2023; Shi, 2021; Zhang &amp; Hyland, 2023). Recent reviews show that written corrective feedback outcomes are shaped by target structure, focus, opportunity for revision, learner beliefs, emotion, workload, and classroom ecology (Mao &amp; Lee, 2022; Mao et al., 2024; Nguyen &amp; Chu, 2024). Studies in Vietnam and other EFL settings further indicate that autonomy and perceptions condition how indirect or direct feedback is used (Pham, 2023; Sinha &amp; Nassaji, 2022).</w:t>
      </w:r>
    </w:p>
    <w:p w14:paraId="0A36CD7A" w14:textId="77777777" w:rsidR="00187E5B" w:rsidRDefault="00000000">
      <w:pPr>
        <w:spacing w:after="120"/>
      </w:pPr>
      <w:r>
        <w:t>Counterevidence is essential. Learning may occur through extensive exposure, reading, corpus consultation, or repeated drafting without verbalized noticing. Direct information may support some low-salience forms without extensive explanation. Heavy correction may reduce risk taking, complexity, or rhetorical range, so a lower error rate can coexist with developmental avoidance. Effective multilingual variation may diverge from dominant norms while remaining intelligible. These cases do not invalidate the model; they define the conditions under which attention, feedback, or genre instruction should be treated as facilitating rather than universally necessary.</w:t>
      </w:r>
    </w:p>
    <w:p w14:paraId="73756DC0" w14:textId="77777777" w:rsidR="00187E5B" w:rsidRDefault="00000000">
      <w:pPr>
        <w:keepNext/>
        <w:spacing w:before="120" w:after="60"/>
      </w:pPr>
      <w:r>
        <w:rPr>
          <w:b/>
        </w:rPr>
        <w:lastRenderedPageBreak/>
        <w:t xml:space="preserve">Figure 2. </w:t>
      </w:r>
      <w:r>
        <w:rPr>
          <w:i/>
        </w:rPr>
        <w:t>Recursive explanatory model of adaptive grammatical control development</w:t>
      </w:r>
    </w:p>
    <w:p w14:paraId="7B0053EF" w14:textId="77777777" w:rsidR="00187E5B" w:rsidRDefault="00000000">
      <w:pPr>
        <w:spacing w:after="120"/>
        <w:jc w:val="center"/>
      </w:pPr>
      <w:r>
        <w:rPr>
          <w:noProof/>
        </w:rPr>
        <w:drawing>
          <wp:inline distT="0" distB="0" distL="0" distR="0" wp14:anchorId="285EB041" wp14:editId="539C673B">
            <wp:extent cx="5212080" cy="33241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7"/>
                    <a:stretch>
                      <a:fillRect/>
                    </a:stretch>
                  </pic:blipFill>
                  <pic:spPr>
                    <a:xfrm>
                      <a:off x="0" y="0"/>
                      <a:ext cx="5212080" cy="3324191"/>
                    </a:xfrm>
                    <a:prstGeom prst="rect">
                      <a:avLst/>
                    </a:prstGeom>
                  </pic:spPr>
                </pic:pic>
              </a:graphicData>
            </a:graphic>
          </wp:inline>
        </w:drawing>
      </w:r>
    </w:p>
    <w:p w14:paraId="56A0FB53" w14:textId="77777777" w:rsidR="00187E5B" w:rsidRDefault="00000000">
      <w:pPr>
        <w:pStyle w:val="Heading2"/>
        <w:keepNext/>
        <w:spacing w:before="160" w:after="80"/>
      </w:pPr>
      <w:r>
        <w:t>Measurement, supported performance, and generative AI</w:t>
      </w:r>
    </w:p>
    <w:p w14:paraId="78D67099" w14:textId="77777777" w:rsidR="00187E5B" w:rsidRDefault="00000000">
      <w:pPr>
        <w:spacing w:after="120"/>
      </w:pPr>
      <w:r>
        <w:t>Measurement should separate accuracy outcomes, learning-process indicators, retention evidence, transfer evidence, and contextual moderators. Errors per 100 words, error-free units, and target-like use describe the sampled text. Noticing comments, revision decisions, feedback explanations, and interaction histories describe processing. Delayed unassisted performance provides retention evidence. Performance under a changed topic, task, genre, discipline, or institution provides transfer evidence. Proficiency, task complexity, feedback literacy, and institutional resources are moderators, not dimensions of accuracy.</w:t>
      </w:r>
    </w:p>
    <w:p w14:paraId="55AA886E" w14:textId="77777777" w:rsidR="00187E5B" w:rsidRDefault="00000000">
      <w:pPr>
        <w:spacing w:after="120"/>
      </w:pPr>
      <w:r>
        <w:t>Formal measures should combine at least one global index with one feature-specific index and report text length normalization, target opportunities, coder training, difficult-case examples, and inter-rater agreement. Automated measures can increase efficiency, but current evidence shows that large language models may under-detect errors, vary across prompts or proficiency levels, and produce judgments that require human verification (Mizumoto et al., 2024; Pfau et al., 2023; Saricaoglu &amp; Bilki, 2025). Linguistic complexity and holistic quality should remain analytically separate from accuracy even when they are reported together (Lan et al., 2022; Zhang et al., 2022).</w:t>
      </w:r>
    </w:p>
    <w:p w14:paraId="0A40BEB4" w14:textId="77777777" w:rsidR="00187E5B" w:rsidRDefault="00000000">
      <w:pPr>
        <w:spacing w:after="120"/>
      </w:pPr>
      <w:r>
        <w:t>Development must also be distinguished from supported performance. Independent control occurs without external language support. Strategically supported performance uses dictionaries, corpora, or checking tools while the writer retains authorship and decision authority. Collaboratively mediated performance emerges through teacher, peer, or dialogic AI interaction. Externally substituted performance occurs when another agent generates or reformulates the target text with minimal learner reasoning. The final product may be excellent, but it cannot be interpreted as the writer’s independent grammatical development.</w:t>
      </w:r>
    </w:p>
    <w:p w14:paraId="70E0B197" w14:textId="77777777" w:rsidR="00187E5B" w:rsidRDefault="00000000">
      <w:pPr>
        <w:spacing w:after="120"/>
      </w:pPr>
      <w:r>
        <w:t xml:space="preserve">Generative AI should therefore be classified by function. As an error detector, it can flag forms but may misclassify acceptable variation. As an explanatory feedback provider, it can support comparison and reflection but may hallucinate rules or overgeneralize. As a generator or </w:t>
      </w:r>
      <w:r>
        <w:lastRenderedPageBreak/>
        <w:t>reformulator, it can substitute for production and obscure authorship. Empirical work reports both gains and contradictions: ChatGPT can support formative feedback, argumentative-writing collaboration, and learner engagement, but outcomes depend on training, verification, prompt design, and the extent to which learners remain responsible for revisions (Mahapatra, 2024; Ou et al., 2024; Su et al., 2023; Sun, 2024; Wang, 2025; Yan &amp; Zhang, 2024; Warschauer et al., 2023). Research should preserve interaction histories and require later unassisted performance before making developmental claims.</w:t>
      </w:r>
    </w:p>
    <w:p w14:paraId="7709E284" w14:textId="77777777" w:rsidR="00187E5B" w:rsidRDefault="00000000">
      <w:pPr>
        <w:keepNext/>
        <w:spacing w:before="120" w:after="60"/>
      </w:pPr>
      <w:r>
        <w:rPr>
          <w:b/>
        </w:rPr>
        <w:t xml:space="preserve">Table 2. </w:t>
      </w:r>
      <w:r>
        <w:rPr>
          <w:i/>
        </w:rPr>
        <w:t>Measurement architecture and permitted inferences</w:t>
      </w:r>
    </w:p>
    <w:tbl>
      <w:tblPr>
        <w:tblStyle w:val="TableGrid"/>
        <w:tblW w:w="0" w:type="auto"/>
        <w:jc w:val="center"/>
        <w:tblLook w:val="04A0" w:firstRow="1" w:lastRow="0" w:firstColumn="1" w:lastColumn="0" w:noHBand="0" w:noVBand="1"/>
      </w:tblPr>
      <w:tblGrid>
        <w:gridCol w:w="1805"/>
        <w:gridCol w:w="1805"/>
        <w:gridCol w:w="1805"/>
        <w:gridCol w:w="1805"/>
        <w:gridCol w:w="1805"/>
      </w:tblGrid>
      <w:tr w:rsidR="000F5529" w14:paraId="438DFA59" w14:textId="77777777">
        <w:trPr>
          <w:tblHeader/>
          <w:jc w:val="center"/>
        </w:trPr>
        <w:tc>
          <w:tcPr>
            <w:tcW w:w="1805" w:type="dxa"/>
            <w:tcBorders>
              <w:top w:val="single" w:sz="8" w:space="0" w:color="000000"/>
              <w:left w:val="single" w:sz="4" w:space="0" w:color="000000"/>
              <w:bottom w:val="single" w:sz="8" w:space="0" w:color="000000"/>
              <w:right w:val="single" w:sz="4" w:space="0" w:color="000000"/>
            </w:tcBorders>
            <w:shd w:val="clear" w:color="auto" w:fill="FFFFFF"/>
            <w:tcMar>
              <w:top w:w="50" w:type="dxa"/>
              <w:left w:w="60" w:type="dxa"/>
              <w:bottom w:w="50" w:type="dxa"/>
              <w:right w:w="60" w:type="dxa"/>
            </w:tcMar>
            <w:vAlign w:val="center"/>
          </w:tcPr>
          <w:p w14:paraId="5143DB1D" w14:textId="77777777" w:rsidR="008C5A6C" w:rsidRDefault="00000000">
            <w:r>
              <w:rPr>
                <w:rFonts w:eastAsia="Times New Roman"/>
                <w:b/>
                <w:sz w:val="18"/>
              </w:rPr>
              <w:t>Category</w:t>
            </w:r>
          </w:p>
        </w:tc>
        <w:tc>
          <w:tcPr>
            <w:tcW w:w="1805" w:type="dxa"/>
            <w:tcBorders>
              <w:top w:val="single" w:sz="8" w:space="0" w:color="000000"/>
              <w:left w:val="single" w:sz="4" w:space="0" w:color="000000"/>
              <w:bottom w:val="single" w:sz="8" w:space="0" w:color="000000"/>
              <w:right w:val="single" w:sz="4" w:space="0" w:color="000000"/>
            </w:tcBorders>
            <w:shd w:val="clear" w:color="auto" w:fill="FFFFFF"/>
            <w:tcMar>
              <w:top w:w="50" w:type="dxa"/>
              <w:left w:w="60" w:type="dxa"/>
              <w:bottom w:w="50" w:type="dxa"/>
              <w:right w:w="60" w:type="dxa"/>
            </w:tcMar>
            <w:vAlign w:val="center"/>
          </w:tcPr>
          <w:p w14:paraId="3339B670" w14:textId="77777777" w:rsidR="008C5A6C" w:rsidRDefault="00000000">
            <w:r>
              <w:rPr>
                <w:rFonts w:eastAsia="Times New Roman"/>
                <w:b/>
                <w:sz w:val="18"/>
              </w:rPr>
              <w:t>Illustrative indicators</w:t>
            </w:r>
          </w:p>
        </w:tc>
        <w:tc>
          <w:tcPr>
            <w:tcW w:w="1805" w:type="dxa"/>
            <w:tcBorders>
              <w:top w:val="single" w:sz="8" w:space="0" w:color="000000"/>
              <w:left w:val="single" w:sz="4" w:space="0" w:color="000000"/>
              <w:bottom w:val="single" w:sz="8" w:space="0" w:color="000000"/>
              <w:right w:val="single" w:sz="4" w:space="0" w:color="000000"/>
            </w:tcBorders>
            <w:shd w:val="clear" w:color="auto" w:fill="FFFFFF"/>
            <w:tcMar>
              <w:top w:w="50" w:type="dxa"/>
              <w:left w:w="60" w:type="dxa"/>
              <w:bottom w:w="50" w:type="dxa"/>
              <w:right w:w="60" w:type="dxa"/>
            </w:tcMar>
            <w:vAlign w:val="center"/>
          </w:tcPr>
          <w:p w14:paraId="4818A46E" w14:textId="77777777" w:rsidR="008C5A6C" w:rsidRDefault="00000000">
            <w:r>
              <w:rPr>
                <w:rFonts w:eastAsia="Times New Roman"/>
                <w:b/>
                <w:sz w:val="18"/>
              </w:rPr>
              <w:t>Inference supported</w:t>
            </w:r>
          </w:p>
        </w:tc>
        <w:tc>
          <w:tcPr>
            <w:tcW w:w="1805" w:type="dxa"/>
            <w:tcBorders>
              <w:top w:val="single" w:sz="8" w:space="0" w:color="000000"/>
              <w:left w:val="single" w:sz="4" w:space="0" w:color="000000"/>
              <w:bottom w:val="single" w:sz="8" w:space="0" w:color="000000"/>
              <w:right w:val="single" w:sz="4" w:space="0" w:color="000000"/>
            </w:tcBorders>
            <w:shd w:val="clear" w:color="auto" w:fill="FFFFFF"/>
            <w:tcMar>
              <w:top w:w="50" w:type="dxa"/>
              <w:left w:w="60" w:type="dxa"/>
              <w:bottom w:w="50" w:type="dxa"/>
              <w:right w:w="60" w:type="dxa"/>
            </w:tcMar>
            <w:vAlign w:val="center"/>
          </w:tcPr>
          <w:p w14:paraId="7468DD36" w14:textId="77777777" w:rsidR="008C5A6C" w:rsidRDefault="00000000">
            <w:r>
              <w:rPr>
                <w:rFonts w:eastAsia="Times New Roman"/>
                <w:b/>
                <w:sz w:val="18"/>
              </w:rPr>
              <w:t>Minimum safeguard</w:t>
            </w:r>
          </w:p>
        </w:tc>
        <w:tc>
          <w:tcPr>
            <w:tcW w:w="1805" w:type="dxa"/>
            <w:tcBorders>
              <w:top w:val="single" w:sz="8" w:space="0" w:color="000000"/>
              <w:left w:val="single" w:sz="4" w:space="0" w:color="000000"/>
              <w:bottom w:val="single" w:sz="8" w:space="0" w:color="000000"/>
              <w:right w:val="single" w:sz="4" w:space="0" w:color="000000"/>
            </w:tcBorders>
            <w:shd w:val="clear" w:color="auto" w:fill="FFFFFF"/>
            <w:tcMar>
              <w:top w:w="50" w:type="dxa"/>
              <w:left w:w="60" w:type="dxa"/>
              <w:bottom w:w="50" w:type="dxa"/>
              <w:right w:w="60" w:type="dxa"/>
            </w:tcMar>
            <w:vAlign w:val="center"/>
          </w:tcPr>
          <w:p w14:paraId="75FB44DE" w14:textId="77777777" w:rsidR="008C5A6C" w:rsidRDefault="00000000">
            <w:r>
              <w:rPr>
                <w:rFonts w:eastAsia="Times New Roman"/>
                <w:b/>
                <w:sz w:val="18"/>
              </w:rPr>
              <w:t>Inference not supported</w:t>
            </w:r>
          </w:p>
        </w:tc>
      </w:tr>
      <w:tr w:rsidR="000F5529" w14:paraId="0628BB89" w14:textId="77777777">
        <w:trPr>
          <w:cantSplit/>
          <w:jc w:val="center"/>
        </w:trPr>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38CA125B" w14:textId="77777777" w:rsidR="008C5A6C" w:rsidRDefault="00000000">
            <w:r>
              <w:rPr>
                <w:rFonts w:eastAsia="Times New Roman"/>
                <w:sz w:val="18"/>
              </w:rPr>
              <w:t>Accuracy outcome</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3B2F07B9" w14:textId="77777777" w:rsidR="008C5A6C" w:rsidRDefault="00000000">
            <w:r>
              <w:rPr>
                <w:rFonts w:eastAsia="Times New Roman"/>
                <w:sz w:val="18"/>
              </w:rPr>
              <w:t>Errors per 100 words; error-free units; target-like use</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164815CF" w14:textId="77777777" w:rsidR="008C5A6C" w:rsidRDefault="00000000">
            <w:r>
              <w:rPr>
                <w:rFonts w:eastAsia="Times New Roman"/>
                <w:sz w:val="18"/>
              </w:rPr>
              <w:t>Performance in the sampled text</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66795241" w14:textId="77777777" w:rsidR="008C5A6C" w:rsidRDefault="00000000">
            <w:r>
              <w:rPr>
                <w:rFonts w:eastAsia="Times New Roman"/>
                <w:sz w:val="18"/>
              </w:rPr>
              <w:t>Normalize length; define target opportunities; report reliability</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57558052" w14:textId="77777777" w:rsidR="008C5A6C" w:rsidRDefault="00000000">
            <w:r>
              <w:rPr>
                <w:rFonts w:eastAsia="Times New Roman"/>
                <w:sz w:val="18"/>
              </w:rPr>
              <w:t>Development or transfer by itself</w:t>
            </w:r>
          </w:p>
        </w:tc>
      </w:tr>
      <w:tr w:rsidR="000F5529" w14:paraId="783E443D" w14:textId="77777777">
        <w:trPr>
          <w:cantSplit/>
          <w:jc w:val="center"/>
        </w:trPr>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63AF1FE7" w14:textId="77777777" w:rsidR="008C5A6C" w:rsidRDefault="00000000">
            <w:r>
              <w:rPr>
                <w:rFonts w:eastAsia="Times New Roman"/>
                <w:sz w:val="18"/>
              </w:rPr>
              <w:t>Process indicator</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5067D668" w14:textId="77777777" w:rsidR="008C5A6C" w:rsidRDefault="00000000">
            <w:r>
              <w:rPr>
                <w:rFonts w:eastAsia="Times New Roman"/>
                <w:sz w:val="18"/>
              </w:rPr>
              <w:t>Noticing comments; revision decisions; explanation; justified rejection</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3A99266E" w14:textId="77777777" w:rsidR="008C5A6C" w:rsidRDefault="00000000">
            <w:r>
              <w:rPr>
                <w:rFonts w:eastAsia="Times New Roman"/>
                <w:sz w:val="18"/>
              </w:rPr>
              <w:t>How feedback or resources were processed</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20640ADA" w14:textId="77777777" w:rsidR="008C5A6C" w:rsidRDefault="00000000">
            <w:r>
              <w:rPr>
                <w:rFonts w:eastAsia="Times New Roman"/>
                <w:sz w:val="18"/>
              </w:rPr>
              <w:t>Retain drafts and interactions; code decisions transparently</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39010C36" w14:textId="77777777" w:rsidR="008C5A6C" w:rsidRDefault="00000000">
            <w:r>
              <w:rPr>
                <w:rFonts w:eastAsia="Times New Roman"/>
                <w:sz w:val="18"/>
              </w:rPr>
              <w:t>Independent control</w:t>
            </w:r>
          </w:p>
        </w:tc>
      </w:tr>
      <w:tr w:rsidR="000F5529" w14:paraId="66492D0A" w14:textId="77777777">
        <w:trPr>
          <w:cantSplit/>
          <w:jc w:val="center"/>
        </w:trPr>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07CCC316" w14:textId="77777777" w:rsidR="008C5A6C" w:rsidRDefault="00000000">
            <w:r>
              <w:rPr>
                <w:rFonts w:eastAsia="Times New Roman"/>
                <w:sz w:val="18"/>
              </w:rPr>
              <w:t>Retention evidence</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5564DE42" w14:textId="77777777" w:rsidR="008C5A6C" w:rsidRDefault="00000000">
            <w:r>
              <w:rPr>
                <w:rFonts w:eastAsia="Times New Roman"/>
                <w:sz w:val="18"/>
              </w:rPr>
              <w:t>Delayed unassisted use of target resources</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19AF7DD2" w14:textId="77777777" w:rsidR="008C5A6C" w:rsidRDefault="00000000">
            <w:r>
              <w:rPr>
                <w:rFonts w:eastAsia="Times New Roman"/>
                <w:sz w:val="18"/>
              </w:rPr>
              <w:t>Durability over time</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7C7A8DB8" w14:textId="77777777" w:rsidR="008C5A6C" w:rsidRDefault="00000000">
            <w:r>
              <w:rPr>
                <w:rFonts w:eastAsia="Times New Roman"/>
                <w:sz w:val="18"/>
              </w:rPr>
              <w:t>Comparable task opportunity; adequate delay; baseline measure</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049BC109" w14:textId="77777777" w:rsidR="008C5A6C" w:rsidRDefault="00000000">
            <w:r>
              <w:rPr>
                <w:rFonts w:eastAsia="Times New Roman"/>
                <w:sz w:val="18"/>
              </w:rPr>
              <w:t>Transfer beyond the sampled task</w:t>
            </w:r>
          </w:p>
        </w:tc>
      </w:tr>
      <w:tr w:rsidR="000F5529" w14:paraId="26B23291" w14:textId="77777777">
        <w:trPr>
          <w:cantSplit/>
          <w:jc w:val="center"/>
        </w:trPr>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2051D05F" w14:textId="77777777" w:rsidR="008C5A6C" w:rsidRDefault="00000000">
            <w:r>
              <w:rPr>
                <w:rFonts w:eastAsia="Times New Roman"/>
                <w:sz w:val="18"/>
              </w:rPr>
              <w:t>Transfer evidence</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7DB38A06" w14:textId="77777777" w:rsidR="008C5A6C" w:rsidRDefault="00000000">
            <w:r>
              <w:rPr>
                <w:rFonts w:eastAsia="Times New Roman"/>
                <w:sz w:val="18"/>
              </w:rPr>
              <w:t>New topic, task, genre, discipline, or institution</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6BC30D40" w14:textId="77777777" w:rsidR="008C5A6C" w:rsidRDefault="00000000">
            <w:r>
              <w:rPr>
                <w:rFonts w:eastAsia="Times New Roman"/>
                <w:sz w:val="18"/>
              </w:rPr>
              <w:t>Generalization under a specified change</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34E040DE" w14:textId="77777777" w:rsidR="008C5A6C" w:rsidRDefault="00000000">
            <w:r>
              <w:rPr>
                <w:rFonts w:eastAsia="Times New Roman"/>
                <w:sz w:val="18"/>
              </w:rPr>
              <w:t>Name the transfer dimension; ensure comparable target opportunity</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1A255ECA" w14:textId="77777777" w:rsidR="008C5A6C" w:rsidRDefault="00000000">
            <w:r>
              <w:rPr>
                <w:rFonts w:eastAsia="Times New Roman"/>
                <w:sz w:val="18"/>
              </w:rPr>
              <w:t>Universal cross-context generalization</w:t>
            </w:r>
          </w:p>
        </w:tc>
      </w:tr>
      <w:tr w:rsidR="000F5529" w14:paraId="76E83459" w14:textId="77777777">
        <w:trPr>
          <w:cantSplit/>
          <w:jc w:val="center"/>
        </w:trPr>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1D4AAD95" w14:textId="77777777" w:rsidR="008C5A6C" w:rsidRDefault="00000000">
            <w:r>
              <w:rPr>
                <w:rFonts w:eastAsia="Times New Roman"/>
                <w:sz w:val="18"/>
              </w:rPr>
              <w:t>Supported performance</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54F1FCDA" w14:textId="77777777" w:rsidR="008C5A6C" w:rsidRDefault="00000000">
            <w:r>
              <w:rPr>
                <w:rFonts w:eastAsia="Times New Roman"/>
                <w:sz w:val="18"/>
              </w:rPr>
              <w:t>Dictionary, corpus, teacher, peer, or dialogic AI use</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627E1B39" w14:textId="77777777" w:rsidR="008C5A6C" w:rsidRDefault="00000000">
            <w:r>
              <w:rPr>
                <w:rFonts w:eastAsia="Times New Roman"/>
                <w:sz w:val="18"/>
              </w:rPr>
              <w:t>Strategic or collaborative writing capacity</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1AE7465B" w14:textId="77777777" w:rsidR="008C5A6C" w:rsidRDefault="00000000">
            <w:r>
              <w:rPr>
                <w:rFonts w:eastAsia="Times New Roman"/>
                <w:sz w:val="18"/>
              </w:rPr>
              <w:t>Document support and decision authority</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3582D312" w14:textId="77777777" w:rsidR="008C5A6C" w:rsidRDefault="00000000">
            <w:r>
              <w:rPr>
                <w:rFonts w:eastAsia="Times New Roman"/>
                <w:sz w:val="18"/>
              </w:rPr>
              <w:t>Unaided internalized control</w:t>
            </w:r>
          </w:p>
        </w:tc>
      </w:tr>
      <w:tr w:rsidR="000F5529" w14:paraId="12DF49E1" w14:textId="77777777">
        <w:trPr>
          <w:cantSplit/>
          <w:jc w:val="center"/>
        </w:trPr>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452D403B" w14:textId="77777777" w:rsidR="008C5A6C" w:rsidRDefault="00000000">
            <w:r>
              <w:rPr>
                <w:rFonts w:eastAsia="Times New Roman"/>
                <w:sz w:val="18"/>
              </w:rPr>
              <w:t>External substitution</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7405E1AF" w14:textId="77777777" w:rsidR="008C5A6C" w:rsidRDefault="00000000">
            <w:r>
              <w:rPr>
                <w:rFonts w:eastAsia="Times New Roman"/>
                <w:sz w:val="18"/>
              </w:rPr>
              <w:t>Whole-text generation or reformulation with minimal reasoning</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20AFF701" w14:textId="77777777" w:rsidR="008C5A6C" w:rsidRDefault="00000000">
            <w:r>
              <w:rPr>
                <w:rFonts w:eastAsia="Times New Roman"/>
                <w:sz w:val="18"/>
              </w:rPr>
              <w:t>Quality of the artifact</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19A3A1BB" w14:textId="77777777" w:rsidR="008C5A6C" w:rsidRDefault="00000000">
            <w:r>
              <w:rPr>
                <w:rFonts w:eastAsia="Times New Roman"/>
                <w:sz w:val="18"/>
              </w:rPr>
              <w:t>Disclose provenance and authorship process</w:t>
            </w:r>
          </w:p>
        </w:tc>
        <w:tc>
          <w:tcPr>
            <w:tcW w:w="1805" w:type="dxa"/>
            <w:tcBorders>
              <w:top w:val="single" w:sz="4" w:space="0" w:color="000000"/>
              <w:left w:val="single" w:sz="4" w:space="0" w:color="000000"/>
              <w:bottom w:val="single" w:sz="4" w:space="0" w:color="000000"/>
              <w:right w:val="single" w:sz="4" w:space="0" w:color="000000"/>
            </w:tcBorders>
            <w:shd w:val="clear" w:color="auto" w:fill="FFFFFF"/>
            <w:tcMar>
              <w:top w:w="50" w:type="dxa"/>
              <w:left w:w="60" w:type="dxa"/>
              <w:bottom w:w="50" w:type="dxa"/>
              <w:right w:w="60" w:type="dxa"/>
            </w:tcMar>
            <w:vAlign w:val="center"/>
          </w:tcPr>
          <w:p w14:paraId="35803789" w14:textId="77777777" w:rsidR="008C5A6C" w:rsidRDefault="00000000">
            <w:r>
              <w:rPr>
                <w:rFonts w:eastAsia="Times New Roman"/>
                <w:sz w:val="18"/>
              </w:rPr>
              <w:t>Learner grammatical development</w:t>
            </w:r>
          </w:p>
        </w:tc>
      </w:tr>
    </w:tbl>
    <w:p w14:paraId="1B21FEAE" w14:textId="77777777" w:rsidR="00187E5B" w:rsidRDefault="00000000">
      <w:pPr>
        <w:pStyle w:val="Heading2"/>
        <w:keepNext/>
        <w:spacing w:before="160" w:after="80"/>
      </w:pPr>
      <w:r>
        <w:t>Vietnamese EFL illustrations, disciplinary variation, and implementation</w:t>
      </w:r>
    </w:p>
    <w:p w14:paraId="023406B2" w14:textId="77777777" w:rsidR="00187E5B" w:rsidRDefault="00000000">
      <w:pPr>
        <w:spacing w:after="120"/>
      </w:pPr>
      <w:r>
        <w:t>Vietnamese evidence is treated as illustrative and theoretically generative rather than as the empirical foundation of the entire framework. Recent studies identify recurrent grammatical errors, culture-related expectations, and information-packaging patterns in particular institutions and proficiency groups (Le, 2023; Trinh &amp; Pho, 2024, 2026). These findings should not be generalized to all Vietnamese learners. Cross-linguistic differences in articles, tense-aspect, agreement, plurality, or information structure may shape difficulty, but they interact with developmental overgeneralization, lexical resources, task demands, prior instruction, and feedback history.</w:t>
      </w:r>
    </w:p>
    <w:p w14:paraId="20F197F5" w14:textId="77777777" w:rsidR="00187E5B" w:rsidRDefault="00000000">
      <w:pPr>
        <w:spacing w:after="120"/>
      </w:pPr>
      <w:r>
        <w:t>Mechanism-based transferability is therefore a hypothesis. Article-focused findings may transfer most plausibly to learners whose languages lack comparable article systems. Revision-cycle findings may transfer to programs with similar workload, task continuity, and opportunities for redrafting. The model is less likely to transfer unchanged where target structures differ, writing is collaboratively authored, assessment prohibits revision, or disciplinary communities tolerate different conventions. International relevance rests on the comparison of mechanisms and boundary conditions, not on treating one country as representative of all EFL contexts.</w:t>
      </w:r>
    </w:p>
    <w:p w14:paraId="6F5F5BCF" w14:textId="77777777" w:rsidR="00187E5B" w:rsidRDefault="00000000">
      <w:pPr>
        <w:spacing w:after="120"/>
      </w:pPr>
      <w:r>
        <w:lastRenderedPageBreak/>
        <w:t>Disciplinary variation further constrains grammatical priorities. Scientific writing may compress procedures and entities through dense noun phrases and calibrate claims in results and discussion sections, whereas interpretive writing may foreground source positioning, concession, evaluation, and visible argumentative agency. Discipline-sensitive academic writing programs and genre pedagogy are therefore more likely to support transfer than decontextualized correction alone (Acar, 2023; Lee &amp; Lee, 2023; Lin &amp; Morrison, 2021; Lu &amp; Fu, 2026).</w:t>
      </w:r>
    </w:p>
    <w:p w14:paraId="385201D2" w14:textId="77777777" w:rsidR="00187E5B" w:rsidRDefault="00000000">
      <w:pPr>
        <w:spacing w:after="120"/>
      </w:pPr>
      <w:r>
        <w:t>Implementation should be tiered. A minimum viable design can use one genre-relevant diagnostic text, two recurrent high-consequence targets, brief model comparison, required revision, and one delayed unassisted task. An enhanced design adds learner explanations, error-decision logs, peer dialogue, genre-linked recycling, and calibrated automated feedback. A resource-intensive design adds writing-center collaboration, disciplinary raters, corpus benchmarks, longitudinal portfolios, and program-level coordination. Such prioritization recognizes that institutional opportunity moderates whether theoretically desirable practices can be sustained.</w:t>
      </w:r>
    </w:p>
    <w:p w14:paraId="3D1CA53D" w14:textId="77777777" w:rsidR="00187E5B" w:rsidRDefault="00000000">
      <w:pPr>
        <w:pStyle w:val="Heading2"/>
        <w:keepNext/>
        <w:spacing w:before="160" w:after="80"/>
      </w:pPr>
      <w:r>
        <w:t>Testable propositions</w:t>
      </w:r>
    </w:p>
    <w:p w14:paraId="0EFBE7BC" w14:textId="77777777" w:rsidR="00187E5B" w:rsidRDefault="00000000">
      <w:pPr>
        <w:spacing w:after="120"/>
      </w:pPr>
      <w:r>
        <w:t>The synthesis generated six conditional propositions. They are not settled conclusions. Each specifies a predictor or mechanism, an outcome or comparison, a timeframe, and a boundary condition. The propositions convert general pedagogical recommendations into claims that can be supported, weakened, or rejected through longitudinal and comparative research.</w:t>
      </w:r>
    </w:p>
    <w:p w14:paraId="70F5D137" w14:textId="77777777" w:rsidR="00187E5B" w:rsidRDefault="00000000">
      <w:pPr>
        <w:spacing w:after="120"/>
      </w:pPr>
      <w:r>
        <w:t>Proposition 1. Over an instructional period of at least eight weeks, diagnosis based on recurring patterns across multiple obligatory contexts will produce greater delayed accuracy on new unassisted tasks than instruction triggered by isolated errors, provided that the target forms recur in the assessment tasks.</w:t>
      </w:r>
    </w:p>
    <w:p w14:paraId="2168147B" w14:textId="77777777" w:rsidR="00187E5B" w:rsidRDefault="00000000">
      <w:pPr>
        <w:spacing w:after="120"/>
      </w:pPr>
      <w:r>
        <w:t>Proposition 2. Selective feedback on targets chosen for recurrence, communicative consequence, and genre function will produce deeper processing and greater delayed target-like use than undifferentiated comprehensive marking; the advantage will decrease as proficiency and feedback literacy increase.</w:t>
      </w:r>
    </w:p>
    <w:p w14:paraId="30E682EF" w14:textId="77777777" w:rsidR="00187E5B" w:rsidRDefault="00000000">
      <w:pPr>
        <w:spacing w:after="120"/>
      </w:pPr>
      <w:r>
        <w:t>Proposition 3. Pushed production will improve delayed accuracy relative to input-only practice when its effect is mediated by gap recognition and an opportunity to test a revised formulation; excessive task complexity will weaken this relation through avoidance or attentional overload.</w:t>
      </w:r>
    </w:p>
    <w:p w14:paraId="1639D2E8" w14:textId="77777777" w:rsidR="00187E5B" w:rsidRDefault="00000000">
      <w:pPr>
        <w:spacing w:after="120"/>
      </w:pPr>
      <w:r>
        <w:t>Proposition 4. The effect of written corrective feedback on delayed unassisted accuracy will be mediated by active uptake, operationalized as explanation, justified decision making, verification, and reconstruction rather than copying; feedback clarity and prior metalinguistic knowledge will moderate the mediation.</w:t>
      </w:r>
    </w:p>
    <w:p w14:paraId="435CDE14" w14:textId="77777777" w:rsidR="00187E5B" w:rsidRDefault="00000000">
      <w:pPr>
        <w:spacing w:after="120"/>
      </w:pPr>
      <w:r>
        <w:t>Proposition 5. Grammar practice linked to recurrent rhetorical moves will produce stronger topic, task, and near-genre transfer than decontextualized rule practice when the target resource performs a comparable discourse function across transfer tasks.</w:t>
      </w:r>
    </w:p>
    <w:p w14:paraId="5CC09043" w14:textId="77777777" w:rsidR="00187E5B" w:rsidRDefault="00000000">
      <w:pPr>
        <w:spacing w:after="120"/>
      </w:pPr>
      <w:r>
        <w:t>Proposition 6. The combined diagnosis-attention-production-feedback pathway will have a weaker relation with transfer when institutional opportunity falls below a minimum threshold of revision time, task continuity, and accessible support, even when feedback information is linguistically accurate.</w:t>
      </w:r>
    </w:p>
    <w:p w14:paraId="626B42DD" w14:textId="77777777" w:rsidR="00187E5B" w:rsidRDefault="00000000">
      <w:pPr>
        <w:pStyle w:val="Heading1"/>
        <w:keepNext/>
        <w:spacing w:before="200" w:after="100"/>
      </w:pPr>
      <w:r>
        <w:lastRenderedPageBreak/>
        <w:t>DISCUSSION</w:t>
      </w:r>
    </w:p>
    <w:p w14:paraId="47F10109" w14:textId="77777777" w:rsidR="00187E5B" w:rsidRDefault="00000000">
      <w:pPr>
        <w:pStyle w:val="Heading2"/>
        <w:keepNext/>
        <w:spacing w:before="160" w:after="80"/>
      </w:pPr>
      <w:r>
        <w:t>Theoretical contribution</w:t>
      </w:r>
    </w:p>
    <w:p w14:paraId="03C18D91" w14:textId="77777777" w:rsidR="00187E5B" w:rsidRDefault="00000000">
      <w:pPr>
        <w:spacing w:after="120"/>
      </w:pPr>
      <w:r>
        <w:t>The central implication of the findings is that grammatical-accuracy research is constrained less by a shortage of indices than by recurrent inferential overreach. A polished text is often treated as evidence of development even when accuracy may result from avoidance, editing, collaboration, or technological substitution. Conversely, broad rhetorical weaknesses are sometimes attributed to grammar although they originate in evidence use, disciplinary knowledge, lexical choice, or audience awareness. The layered architecture addresses both problems. It permits grammar to matter at sentence and discourse levels without turning grammatical accuracy into a general theory of successful academic writing.</w:t>
      </w:r>
    </w:p>
    <w:p w14:paraId="3360983E" w14:textId="77777777" w:rsidR="00187E5B" w:rsidRDefault="00000000">
      <w:pPr>
        <w:spacing w:after="120"/>
      </w:pPr>
      <w:r>
        <w:t>The framework also moves beyond an additive list of familiar learning activities. Error, attention, production, feedback, revision, and transfer are well established in the field (Corder, 1967; Schmidt, 1990; Selinker, 1972; Swain, 1985), but the proposed model assigns them different explanatory roles. Diagnosis is an antecedent; attention and gap recognition are candidate mechanisms; active uptake is a mediator; agency, feedback literacy, task, genre, language background, and institutional opportunity are moderators or boundary conditions; immediate revision is a proximal outcome; and delayed unassisted transfer is the developmental criterion. This role allocation explains why successful correction of one draft may fail to produce durable control.</w:t>
      </w:r>
    </w:p>
    <w:p w14:paraId="1BBD4E94" w14:textId="77777777" w:rsidR="00187E5B" w:rsidRDefault="00000000">
      <w:pPr>
        <w:spacing w:after="120"/>
      </w:pPr>
      <w:r>
        <w:t>The model also reframes the written corrective feedback controversy. Rather than attempting to identify one universally superior feedback type, it predicts that effects depend on target value, processing, learner characteristics, and opportunities for later use. This interpretation is consistent with recent reviews and classroom studies showing that written feedback is ecological and conditional (Mao &amp; Lee, 2022; Mao et al., 2024; Nguyen &amp; Chu, 2024; Wang, 2024). It also acknowledges the equity concern raised by Global Englishes scholarship: correction should address consequential language-function problems while avoiding automatic enforcement of a single native-speaker model (Lee, 2023).</w:t>
      </w:r>
    </w:p>
    <w:p w14:paraId="487C4541" w14:textId="77777777" w:rsidR="00187E5B" w:rsidRDefault="00000000">
      <w:pPr>
        <w:pStyle w:val="Heading2"/>
        <w:keepNext/>
        <w:spacing w:before="160" w:after="80"/>
      </w:pPr>
      <w:r>
        <w:t>Implications for research, assessment, and pedagogy</w:t>
      </w:r>
    </w:p>
    <w:p w14:paraId="62799F02" w14:textId="77777777" w:rsidR="00187E5B" w:rsidRDefault="00000000">
      <w:pPr>
        <w:spacing w:after="120"/>
      </w:pPr>
      <w:r>
        <w:t>For research, the framework requires longitudinal designs that separate product quality from development. Studies should report baseline performance, target opportunities, revision processes, support conditions, delayed unassisted tasks, and the specific dimension of transfer. Topic, task, genre, disciplinary, and institutional transfer should not be collapsed into one label. Formal accuracy and discourse-functional appropriateness require separate coding manuals and reliability estimates. AI-assisted studies should preserve interaction histories so that detection, explanation, collaboration, and external substitution can be distinguished.</w:t>
      </w:r>
    </w:p>
    <w:p w14:paraId="6ED60C1B" w14:textId="77777777" w:rsidR="00187E5B" w:rsidRDefault="00000000">
      <w:pPr>
        <w:spacing w:after="120"/>
      </w:pPr>
      <w:r>
        <w:t>For assessment, tool-enabled performance should be interpreted according to the claim being made. Dictionaries, corpora, peers, teachers, and dialogic AI may demonstrate strategic academic writing capacity, which is valuable in authentic settings. They do not automatically demonstrate unaided internalized control. Assessment validity therefore depends on transparent tool policies and alignment between the intended construct and the allowed support. ChatGPT and related systems may improve efficiency, but recent evidence confirms that automated judgments still require human checking and are sensitive to task, prompt, and proficiency (Mizumoto et al., 2024; Pfau et al., 2023; Saricaoglu &amp; Bilki, 2025).</w:t>
      </w:r>
    </w:p>
    <w:p w14:paraId="249B55BB" w14:textId="77777777" w:rsidR="00187E5B" w:rsidRDefault="00000000">
      <w:pPr>
        <w:spacing w:after="120"/>
      </w:pPr>
      <w:r>
        <w:lastRenderedPageBreak/>
        <w:t>For pedagogy, a feasible program should prioritize recurring, consequential, and genre-relevant targets. Learners need opportunities to compare alternatives, explain or justify decisions, revise, and later reproduce the resource in a new task. Feedback literacy is therefore not passive compliance. Justified rejection can indicate stronger control than uncritical adoption. Peer and teacher feedback can be combined, but students require scaffolding for evaluating feedback quality and transferring revised choices (Chen et al., 2023; Cheng et al., 2023; Zhang &amp; Hyland, 2023). AI literacy similarly requires verification, attribution, privacy awareness, and responsibility for final language choices (Ou et al., 2024; Sun, 2024; Warschauer et al., 2023).</w:t>
      </w:r>
    </w:p>
    <w:p w14:paraId="7634AC64" w14:textId="77777777" w:rsidR="00187E5B" w:rsidRDefault="00000000">
      <w:pPr>
        <w:spacing w:after="120"/>
      </w:pPr>
      <w:r>
        <w:t>Institutional design matters because individual teachers cannot sustain elaborate feedback cycles without time, task continuity, and accessible support. Recent EAP and writing-support research indicates that discipline-specific, embedded, and collaborative provision is more effective than isolated generic assistance (Lee &amp; Lee, 2023; Lin &amp; Morrison, 2021; Lu &amp; Fu, 2026). The tiered implementation model enables institutions to begin with delayed evidence and high-value targets before investing in specialist raters, writing centers, or longitudinal portfolios.</w:t>
      </w:r>
    </w:p>
    <w:p w14:paraId="5DC660C7" w14:textId="77777777" w:rsidR="00187E5B" w:rsidRDefault="00000000">
      <w:pPr>
        <w:pStyle w:val="Heading2"/>
        <w:keepNext/>
        <w:spacing w:before="160" w:after="80"/>
      </w:pPr>
      <w:r>
        <w:t>International relevance and limitations</w:t>
      </w:r>
    </w:p>
    <w:p w14:paraId="1E7B943A" w14:textId="77777777" w:rsidR="00187E5B" w:rsidRDefault="00000000">
      <w:pPr>
        <w:spacing w:after="120"/>
      </w:pPr>
      <w:r>
        <w:t>The Vietnamese case is internationally relevant because it makes interacting mechanisms visible: cross-linguistic resources, information packaging, genre unfamiliarity, assessment traditions, learner agency, and uneven feedback capacity. Comparable configurations occur in many EFL and multilingual higher-education systems. However, relevance does not equal representativeness. The framework should be tested across language pairs, proficiency levels, disciplines, institutions, and tool policies. Its cross-context claims are analytical hypotheses, not demonstrated generalizations.</w:t>
      </w:r>
    </w:p>
    <w:p w14:paraId="05F2380F" w14:textId="77777777" w:rsidR="00187E5B" w:rsidRDefault="00000000">
      <w:pPr>
        <w:spacing w:after="120"/>
      </w:pPr>
      <w:r>
        <w:t>Several limitations qualify the review. The corpus was purposive, English-language dominant, and designed for theoretical coverage rather than exhaustive retrieval. One author conducted screening and synthesis, so interpretive disagreement was not resolved through independent coding. The emphasis on recent journal literature improves currency but may underrepresent relevant books, regional publications, and non-English scholarship. Vietnamese evidence remains limited in disciplinary and institutional range. Finally, adaptive grammatical control and the six propositions are conceptual proposals requiring longitudinal, cross-genre, cross-disciplinary, and cross-language validation. The framework should be revised if delayed transfer repeatedly occurs without the proposed mechanisms or if its moderators fail to explain variation.</w:t>
      </w:r>
    </w:p>
    <w:p w14:paraId="385D59C3" w14:textId="77777777" w:rsidR="00187E5B" w:rsidRDefault="00000000">
      <w:pPr>
        <w:spacing w:after="120"/>
      </w:pPr>
      <w:r>
        <w:t>The propositions define an empirical agenda rather than a fixed intervention. Strong tests should combine repeated writing tasks, transparent support conditions, process evidence, and delayed transfer measures. Researchers could compare pattern-based diagnosis with isolated-error correction while holding instructional time constant, examine active uptake as a mediator, or contrast genre-linked practice with rule-only practice. Similar designs could distinguish dialogic AI consultation from whole-text reformulation. Multilevel models are appropriate when learners are nested within classes or programs, while qualitative evidence is needed to explain why writers accept, reject, or transform feedback.</w:t>
      </w:r>
    </w:p>
    <w:p w14:paraId="70495E29" w14:textId="77777777" w:rsidR="00187E5B" w:rsidRDefault="00000000">
      <w:pPr>
        <w:spacing w:after="120"/>
      </w:pPr>
      <w:r>
        <w:t>Although developed through English-language and Vietnamese EFL illustrations, the framework may apply to additional-language writing more broadly because it separates textual accuracy, processing, supported performance, retention, and transfer. Target structures, obligatory contexts, and genre conventions will differ across languages and disciplines; international relevance therefore depends on testing mechanisms and boundary conditions rather than treating one national group as representative.</w:t>
      </w:r>
    </w:p>
    <w:p w14:paraId="49AE404F" w14:textId="77777777" w:rsidR="00187E5B" w:rsidRDefault="00000000">
      <w:pPr>
        <w:pStyle w:val="Heading1"/>
        <w:keepNext/>
        <w:spacing w:before="200" w:after="100"/>
      </w:pPr>
      <w:r>
        <w:lastRenderedPageBreak/>
        <w:t>CONCLUSION</w:t>
      </w:r>
    </w:p>
    <w:p w14:paraId="3CE5E274" w14:textId="77777777" w:rsidR="00187E5B" w:rsidRDefault="00000000">
      <w:pPr>
        <w:spacing w:after="120"/>
      </w:pPr>
      <w:r>
        <w:t>This integrative review reconceptualizes grammatical accuracy as adaptive grammatical control: the capacity to select, realize, monitor, repair, and transfer grammatical resources with progressively less external support. The layered model separates formal and discourse-functional control from genre-conditioned deployment and broader rhetorical-disciplinary effectiveness. The explanatory model distinguishes diagnosis, learning mechanisms, active uptake, moderators, immediate performance, retention, and transfer, preventing polished or AI-reformulated products from being interpreted automatically as development. Written feedback and generative AI may support learning when writers verify suggestions, retain decision authority, reconstruct language, and later perform unassisted. Vietnamese EFL higher education supplies contextual illustrations rather than a universal foundation. Six conditional propositions and a measurement architecture provide a program for longitudinal, cross-genre, cross-disciplinary, and cross-language testing. Until such evidence accumulates, the framework should be treated as a transparent and revisable explanation rather than an empirically validated causal model.</w:t>
      </w:r>
    </w:p>
    <w:p w14:paraId="5A2D481E" w14:textId="77777777" w:rsidR="00187E5B" w:rsidRDefault="00000000">
      <w:pPr>
        <w:pStyle w:val="Heading1"/>
        <w:keepNext/>
        <w:spacing w:before="200" w:after="100"/>
      </w:pPr>
      <w:r>
        <w:t>REFERENCES</w:t>
      </w:r>
    </w:p>
    <w:p w14:paraId="163487C9" w14:textId="77777777" w:rsidR="00187E5B" w:rsidRDefault="00000000">
      <w:pPr>
        <w:spacing w:after="40"/>
        <w:ind w:left="720" w:hanging="720"/>
      </w:pPr>
      <w:r>
        <w:t xml:space="preserve">Acar, A. S. (2023). Genre pedagogy: A writing pedagogy to help L2 writing instructors enact their classroom writing assessment literacy and feedback literacy. </w:t>
      </w:r>
      <w:r>
        <w:rPr>
          <w:i/>
        </w:rPr>
        <w:t>Assessing Writing, 56</w:t>
      </w:r>
      <w:r>
        <w:t>, 100717. https://doi.org/10.1016/j.asw.2023.100717</w:t>
      </w:r>
    </w:p>
    <w:p w14:paraId="7849D82C" w14:textId="77777777" w:rsidR="00187E5B" w:rsidRDefault="00000000">
      <w:pPr>
        <w:spacing w:after="40"/>
        <w:ind w:left="720" w:hanging="720"/>
      </w:pPr>
      <w:r>
        <w:t xml:space="preserve">Chen, W., Liu, D., &amp; Lin, C. (2023). Collaborative peer feedback in L2 writing: Affective, behavioral, cognitive, and social engagement. </w:t>
      </w:r>
      <w:r>
        <w:rPr>
          <w:i/>
        </w:rPr>
        <w:t>Frontiers in Psychology, 14</w:t>
      </w:r>
      <w:r>
        <w:t>, 1078141. https://doi.org/10.3389/fpsyg.2023.1078141</w:t>
      </w:r>
    </w:p>
    <w:p w14:paraId="43F70BFE" w14:textId="77777777" w:rsidR="00187E5B" w:rsidRDefault="00000000">
      <w:pPr>
        <w:spacing w:after="40"/>
        <w:ind w:left="720" w:hanging="720"/>
      </w:pPr>
      <w:r>
        <w:t xml:space="preserve">Cheng, X., Liu, Y., &amp; Wang, C. (2023). Understanding student engagement with teacher and peer feedback in L2 writing. </w:t>
      </w:r>
      <w:r>
        <w:rPr>
          <w:i/>
        </w:rPr>
        <w:t>System, 119</w:t>
      </w:r>
      <w:r>
        <w:t>, 103176. https://doi.org/10.1016/j.system.2023.103176</w:t>
      </w:r>
    </w:p>
    <w:p w14:paraId="7793DA6C" w14:textId="77777777" w:rsidR="00187E5B" w:rsidRDefault="00000000">
      <w:pPr>
        <w:spacing w:after="40"/>
        <w:ind w:left="720" w:hanging="720"/>
      </w:pPr>
      <w:r>
        <w:t xml:space="preserve">Corder, S. P. (1967). The significance of learners’ errors. </w:t>
      </w:r>
      <w:r>
        <w:rPr>
          <w:i/>
        </w:rPr>
        <w:t>International Review of Applied Linguistics in Language Teaching, 5</w:t>
      </w:r>
      <w:r>
        <w:t>(1-4), 161-170. https://doi.org/10.1515/iral.1967.5.1-4.161</w:t>
      </w:r>
    </w:p>
    <w:p w14:paraId="7E2F688D" w14:textId="77777777" w:rsidR="00187E5B" w:rsidRDefault="00000000">
      <w:pPr>
        <w:spacing w:after="40"/>
        <w:ind w:left="720" w:hanging="720"/>
      </w:pPr>
      <w:r>
        <w:t xml:space="preserve">Ferris, D. R. (1999). The case for grammar correction in L2 writing classes: A response to Truscott (1996). </w:t>
      </w:r>
      <w:r>
        <w:rPr>
          <w:i/>
        </w:rPr>
        <w:t>Journal of Second Language Writing, 8</w:t>
      </w:r>
      <w:r>
        <w:t>(1), 1-11. https://doi.org/10.1016/S1060-3743(99)80110-6</w:t>
      </w:r>
    </w:p>
    <w:p w14:paraId="7BCAEB38" w14:textId="77777777" w:rsidR="00187E5B" w:rsidRDefault="00000000">
      <w:pPr>
        <w:spacing w:after="40"/>
        <w:ind w:left="720" w:hanging="720"/>
      </w:pPr>
      <w:r>
        <w:t xml:space="preserve">Lan, G., Li, X., &amp; Zhang, Q. (2022). Revisiting grammatical complexity in L2 writing via exploratory factor analysis. </w:t>
      </w:r>
      <w:r>
        <w:rPr>
          <w:i/>
        </w:rPr>
        <w:t>Frontiers in Psychology, 13</w:t>
      </w:r>
      <w:r>
        <w:t>, 860753. https://doi.org/10.3389/fpsyg.2022.860753</w:t>
      </w:r>
    </w:p>
    <w:p w14:paraId="32AEC93E" w14:textId="77777777" w:rsidR="00187E5B" w:rsidRDefault="00000000">
      <w:pPr>
        <w:spacing w:after="40"/>
        <w:ind w:left="720" w:hanging="720"/>
      </w:pPr>
      <w:r>
        <w:t xml:space="preserve">Le, T. T. D. (2023). Grammatical error analysis of EFL learners’ English writing samples: The case of Vietnamese pre-intermediate students. </w:t>
      </w:r>
      <w:r>
        <w:rPr>
          <w:i/>
        </w:rPr>
        <w:t>International Journal of TESOL &amp; Education, 3</w:t>
      </w:r>
      <w:r>
        <w:t>(3), 1-14. https://doi.org/10.54855/ijte.23341</w:t>
      </w:r>
    </w:p>
    <w:p w14:paraId="766B19C6" w14:textId="77777777" w:rsidR="00187E5B" w:rsidRDefault="00000000">
      <w:pPr>
        <w:spacing w:after="40"/>
        <w:ind w:left="720" w:hanging="720"/>
      </w:pPr>
      <w:r>
        <w:t xml:space="preserve">Lee, H., &amp; Lee, J. H. (2023). Interpreting the effectiveness of academic English writing programmes in higher education: A meta-analysis. </w:t>
      </w:r>
      <w:r>
        <w:rPr>
          <w:i/>
        </w:rPr>
        <w:t>Oxford Review of Education, 49</w:t>
      </w:r>
      <w:r>
        <w:t>(3), 281-300. https://doi.org/10.1080/03054985.2022.2072284</w:t>
      </w:r>
    </w:p>
    <w:p w14:paraId="05C8C15C" w14:textId="77777777" w:rsidR="00187E5B" w:rsidRDefault="00000000">
      <w:pPr>
        <w:spacing w:after="40"/>
        <w:ind w:left="720" w:hanging="720"/>
      </w:pPr>
      <w:r>
        <w:t xml:space="preserve">Lee, I. (2023). Problematising written corrective feedback: A Global Englishes perspective. </w:t>
      </w:r>
      <w:r>
        <w:rPr>
          <w:i/>
        </w:rPr>
        <w:t>Applied Linguistics, 44</w:t>
      </w:r>
      <w:r>
        <w:t>(4), 791-796. https://doi.org/10.1093/applin/amad038</w:t>
      </w:r>
    </w:p>
    <w:p w14:paraId="01AEA6CA" w14:textId="77777777" w:rsidR="00187E5B" w:rsidRDefault="00000000">
      <w:pPr>
        <w:spacing w:after="40"/>
        <w:ind w:left="720" w:hanging="720"/>
      </w:pPr>
      <w:r>
        <w:t xml:space="preserve">Lin, L. H. F., &amp; Morrison, B. (2021). Challenges in academic writing: Perspectives of engineering faculty and L2 postgraduate research students. </w:t>
      </w:r>
      <w:r>
        <w:rPr>
          <w:i/>
        </w:rPr>
        <w:t>English for Specific Purposes, 63</w:t>
      </w:r>
      <w:r>
        <w:t>, 59-70. https://doi.org/10.1016/j.esp.2021.03.004</w:t>
      </w:r>
    </w:p>
    <w:p w14:paraId="244147FC" w14:textId="77777777" w:rsidR="00187E5B" w:rsidRDefault="00000000">
      <w:pPr>
        <w:spacing w:after="40"/>
        <w:ind w:left="720" w:hanging="720"/>
      </w:pPr>
      <w:r>
        <w:lastRenderedPageBreak/>
        <w:t xml:space="preserve">Lu, Y., &amp; Fu, R. (2026). Academic writing support for English as an additional language graduate students: A literature review. </w:t>
      </w:r>
      <w:r>
        <w:rPr>
          <w:i/>
        </w:rPr>
        <w:t>International Journal of Research in Education and Science, 12</w:t>
      </w:r>
      <w:r>
        <w:t>(2), 409-423. https://doi.org/10.46328/ijres.5390</w:t>
      </w:r>
    </w:p>
    <w:p w14:paraId="777355A7" w14:textId="77777777" w:rsidR="00187E5B" w:rsidRDefault="00000000">
      <w:pPr>
        <w:spacing w:after="40"/>
        <w:ind w:left="720" w:hanging="720"/>
      </w:pPr>
      <w:r>
        <w:t xml:space="preserve">Mahapatra, S. (2024). Impact of ChatGPT on ESL students’ academic writing skills: A mixed methods intervention study. </w:t>
      </w:r>
      <w:r>
        <w:rPr>
          <w:i/>
        </w:rPr>
        <w:t>Smart Learning Environments, 11</w:t>
      </w:r>
      <w:r>
        <w:t>, 9. https://doi.org/10.1186/s40561-024-00295-9</w:t>
      </w:r>
    </w:p>
    <w:p w14:paraId="1EA9E6F9" w14:textId="77777777" w:rsidR="00187E5B" w:rsidRDefault="00000000">
      <w:pPr>
        <w:spacing w:after="40"/>
        <w:ind w:left="720" w:hanging="720"/>
      </w:pPr>
      <w:r>
        <w:t xml:space="preserve">Mao, Z., &amp; Lee, I. (2022). Researching L2 student engagement with written feedback: Insights from sociocultural theory. </w:t>
      </w:r>
      <w:r>
        <w:rPr>
          <w:i/>
        </w:rPr>
        <w:t>TESOL Quarterly, 56</w:t>
      </w:r>
      <w:r>
        <w:t>(2), 788-798. https://doi.org/10.1002/tesq.3071</w:t>
      </w:r>
    </w:p>
    <w:p w14:paraId="770EA94F" w14:textId="77777777" w:rsidR="00187E5B" w:rsidRDefault="00000000">
      <w:pPr>
        <w:spacing w:after="40"/>
        <w:ind w:left="720" w:hanging="720"/>
      </w:pPr>
      <w:r>
        <w:t xml:space="preserve">Mao, Z., Lee, I., &amp; Li, S. (2024). Written corrective feedback in second language writing: A synthesis of naturalistic classroom studies. </w:t>
      </w:r>
      <w:r>
        <w:rPr>
          <w:i/>
        </w:rPr>
        <w:t>Language Teaching, 57</w:t>
      </w:r>
      <w:r>
        <w:t>(4), 449-477. https://doi.org/10.1017/S0261444823000393</w:t>
      </w:r>
    </w:p>
    <w:p w14:paraId="08822726" w14:textId="77777777" w:rsidR="00187E5B" w:rsidRDefault="00000000">
      <w:pPr>
        <w:spacing w:after="40"/>
        <w:ind w:left="720" w:hanging="720"/>
      </w:pPr>
      <w:r>
        <w:t xml:space="preserve">Mizumoto, A., Shintani, N., Sasaki, M., &amp; Teng, M. F. (2024). Testing the viability of ChatGPT as a companion in L2 writing accuracy assessment. </w:t>
      </w:r>
      <w:r>
        <w:rPr>
          <w:i/>
        </w:rPr>
        <w:t>Research Methods in Applied Linguistics, 3</w:t>
      </w:r>
      <w:r>
        <w:t>(2), 100116. https://doi.org/10.1016/j.rmal.2024.100116</w:t>
      </w:r>
    </w:p>
    <w:p w14:paraId="0424A291" w14:textId="77777777" w:rsidR="00187E5B" w:rsidRDefault="00000000">
      <w:pPr>
        <w:spacing w:after="40"/>
        <w:ind w:left="720" w:hanging="720"/>
      </w:pPr>
      <w:r>
        <w:t xml:space="preserve">Nguyen, H. M., &amp; Chu, T. A. (2024). Written corrective feedback in second language writing: A review of research. </w:t>
      </w:r>
      <w:r>
        <w:rPr>
          <w:i/>
        </w:rPr>
        <w:t>rEFLections, 31</w:t>
      </w:r>
      <w:r>
        <w:t>(2), 858-870. https://doi.org/10.61508/refl.v31i2.275269</w:t>
      </w:r>
    </w:p>
    <w:p w14:paraId="0C7D4C47" w14:textId="77777777" w:rsidR="00187E5B" w:rsidRDefault="00000000">
      <w:pPr>
        <w:spacing w:after="40"/>
        <w:ind w:left="720" w:hanging="720"/>
      </w:pPr>
      <w:r>
        <w:t xml:space="preserve">Ou, A. W., Khuder, B., Franzetti, S., &amp; Negretti, R. (2024). Conceptualising and cultivating critical GAI literacy in doctoral academic writing. </w:t>
      </w:r>
      <w:r>
        <w:rPr>
          <w:i/>
        </w:rPr>
        <w:t>Journal of Second Language Writing, 66</w:t>
      </w:r>
      <w:r>
        <w:t>, 101156. https://doi.org/10.1016/j.jslw.2024.101156</w:t>
      </w:r>
    </w:p>
    <w:p w14:paraId="3DE3EABA" w14:textId="77777777" w:rsidR="00187E5B" w:rsidRDefault="00000000">
      <w:pPr>
        <w:spacing w:after="40"/>
        <w:ind w:left="720" w:hanging="720"/>
      </w:pPr>
      <w:r>
        <w:t xml:space="preserve">Pfau, A., Polio, C., &amp; Xu, Y. (2023). Exploring the potential of ChatGPT in assessing L2 writing accuracy for research purposes. </w:t>
      </w:r>
      <w:r>
        <w:rPr>
          <w:i/>
        </w:rPr>
        <w:t>Research Methods in Applied Linguistics, 2</w:t>
      </w:r>
      <w:r>
        <w:t>(3), 100083. https://doi.org/10.1016/j.rmal.2023.100083</w:t>
      </w:r>
    </w:p>
    <w:p w14:paraId="6BB0BE7B" w14:textId="77777777" w:rsidR="00187E5B" w:rsidRDefault="00000000">
      <w:pPr>
        <w:spacing w:after="40"/>
        <w:ind w:left="720" w:hanging="720"/>
      </w:pPr>
      <w:r>
        <w:t xml:space="preserve">Pham, L. N. (2023). The interplay between learner autonomy and indirect written corrective feedback in EFL writing. </w:t>
      </w:r>
      <w:r>
        <w:rPr>
          <w:i/>
        </w:rPr>
        <w:t>TESOL Journal, 14</w:t>
      </w:r>
      <w:r>
        <w:t>, e694. https://doi.org/10.1002/tesj.694</w:t>
      </w:r>
    </w:p>
    <w:p w14:paraId="76885783" w14:textId="77777777" w:rsidR="00187E5B" w:rsidRDefault="00000000">
      <w:pPr>
        <w:spacing w:after="40"/>
        <w:ind w:left="720" w:hanging="720"/>
      </w:pPr>
      <w:r>
        <w:t xml:space="preserve">Polio, C. G. (1997). Measures of linguistic accuracy in second language writing research. </w:t>
      </w:r>
      <w:r>
        <w:rPr>
          <w:i/>
        </w:rPr>
        <w:t>Language Learning, 47</w:t>
      </w:r>
      <w:r>
        <w:t>(1), 101-143. https://doi.org/10.1111/0023-8333.31997003</w:t>
      </w:r>
    </w:p>
    <w:p w14:paraId="67922CE8" w14:textId="77777777" w:rsidR="00187E5B" w:rsidRDefault="00000000">
      <w:pPr>
        <w:spacing w:after="40"/>
        <w:ind w:left="720" w:hanging="720"/>
      </w:pPr>
      <w:r>
        <w:t xml:space="preserve">Rabbi, S. (2023). Towards decolonizing L2 writing pedagogy: Translingual and transmodal resources. </w:t>
      </w:r>
      <w:r>
        <w:rPr>
          <w:i/>
        </w:rPr>
        <w:t>ELT Journal, 77</w:t>
      </w:r>
      <w:r>
        <w:t>(3), 338-347. https://doi.org/10.1093/elt/ccad011</w:t>
      </w:r>
    </w:p>
    <w:p w14:paraId="6DD1A4E8" w14:textId="77777777" w:rsidR="00187E5B" w:rsidRDefault="00000000">
      <w:pPr>
        <w:spacing w:after="40"/>
        <w:ind w:left="720" w:hanging="720"/>
      </w:pPr>
      <w:r>
        <w:t xml:space="preserve">Rose, H., Sahan, K., Wei, M., Aizawa, I., Zhou, S., &amp; Shepard, C. (2026). A systematic review of English medium instruction in higher education: An update of Macaro et al. </w:t>
      </w:r>
      <w:r>
        <w:rPr>
          <w:i/>
        </w:rPr>
        <w:t>(2018). System, 136</w:t>
      </w:r>
      <w:r>
        <w:t>, 103892. https://doi.org/10.1016/j.system.2025.103892</w:t>
      </w:r>
    </w:p>
    <w:p w14:paraId="1EB05650" w14:textId="77777777" w:rsidR="00187E5B" w:rsidRDefault="00000000">
      <w:pPr>
        <w:spacing w:after="40"/>
        <w:ind w:left="720" w:hanging="720"/>
      </w:pPr>
      <w:r>
        <w:t xml:space="preserve">Saricaoglu, A., &amp; Bilki, Z. (2025). The capacity of ChatGPT-4 for L2 writing assessment: A closer look at accuracy, specificity, and relevance. </w:t>
      </w:r>
      <w:r>
        <w:rPr>
          <w:i/>
        </w:rPr>
        <w:t>Annual Review of Applied Linguistics, 45</w:t>
      </w:r>
      <w:r>
        <w:t>, 253-273. https://doi.org/10.1017/S0267190525100160</w:t>
      </w:r>
    </w:p>
    <w:p w14:paraId="6DEC029E" w14:textId="77777777" w:rsidR="00187E5B" w:rsidRDefault="00000000">
      <w:pPr>
        <w:spacing w:after="40"/>
        <w:ind w:left="720" w:hanging="720"/>
      </w:pPr>
      <w:r>
        <w:t xml:space="preserve">Schmidt, R. (1990). The role of consciousness in second language learning. </w:t>
      </w:r>
      <w:r>
        <w:rPr>
          <w:i/>
        </w:rPr>
        <w:t>Applied Linguistics, 11</w:t>
      </w:r>
      <w:r>
        <w:t>(2), 129-158. https://doi.org/10.1093/applin/11.2.129</w:t>
      </w:r>
    </w:p>
    <w:p w14:paraId="122D5326" w14:textId="77777777" w:rsidR="00187E5B" w:rsidRDefault="00000000">
      <w:pPr>
        <w:spacing w:after="40"/>
        <w:ind w:left="720" w:hanging="720"/>
      </w:pPr>
      <w:r>
        <w:t xml:space="preserve">Selinker, L. (1972). Interlanguage. </w:t>
      </w:r>
      <w:r>
        <w:rPr>
          <w:i/>
        </w:rPr>
        <w:t>International Review of Applied Linguistics in Language Teaching, 10</w:t>
      </w:r>
      <w:r>
        <w:t>(3), 209-231. https://doi.org/10.1515/iral.1972.10.3.209</w:t>
      </w:r>
    </w:p>
    <w:p w14:paraId="6FDB9412" w14:textId="77777777" w:rsidR="00187E5B" w:rsidRDefault="00000000">
      <w:pPr>
        <w:spacing w:after="40"/>
        <w:ind w:left="720" w:hanging="720"/>
      </w:pPr>
      <w:r>
        <w:t xml:space="preserve">Shi, Y. (2021). Exploring learner engagement with multiple sources of feedback on L2 writing across genres. </w:t>
      </w:r>
      <w:r>
        <w:rPr>
          <w:i/>
        </w:rPr>
        <w:t>Frontiers in Psychology, 12</w:t>
      </w:r>
      <w:r>
        <w:t>, 758867. https://doi.org/10.3389/fpsyg.2021.758867</w:t>
      </w:r>
    </w:p>
    <w:p w14:paraId="55CC6A61" w14:textId="77777777" w:rsidR="00187E5B" w:rsidRDefault="00000000">
      <w:pPr>
        <w:spacing w:after="40"/>
        <w:ind w:left="720" w:hanging="720"/>
      </w:pPr>
      <w:r>
        <w:lastRenderedPageBreak/>
        <w:t xml:space="preserve">Sinha, T. S., &amp; Nassaji, H. (2022). ESL learners’ perception and its relationship with the efficacy of written corrective feedback. </w:t>
      </w:r>
      <w:r>
        <w:rPr>
          <w:i/>
        </w:rPr>
        <w:t>International Journal of Applied Linguistics, 32</w:t>
      </w:r>
      <w:r>
        <w:t>, 41-56. https://doi.org/10.1111/ijal.12378</w:t>
      </w:r>
    </w:p>
    <w:p w14:paraId="1E19DE30" w14:textId="77777777" w:rsidR="00187E5B" w:rsidRDefault="00000000">
      <w:pPr>
        <w:spacing w:after="40"/>
        <w:ind w:left="720" w:hanging="720"/>
      </w:pPr>
      <w:r>
        <w:t xml:space="preserve">Su, Y., Lin, Y., &amp; Lai, C. (2023). Collaborating with ChatGPT in argumentative writing classrooms. </w:t>
      </w:r>
      <w:r>
        <w:rPr>
          <w:i/>
        </w:rPr>
        <w:t>Assessing Writing, 57</w:t>
      </w:r>
      <w:r>
        <w:t>, 100752. https://doi.org/10.1016/j.asw.2023.100752</w:t>
      </w:r>
    </w:p>
    <w:p w14:paraId="616D8DD5" w14:textId="77777777" w:rsidR="00187E5B" w:rsidRDefault="00000000">
      <w:pPr>
        <w:spacing w:after="40"/>
        <w:ind w:left="720" w:hanging="720"/>
      </w:pPr>
      <w:r>
        <w:t xml:space="preserve">Sun, Q. (2024). Exploring human-generative AI interaction in L2 learners’ source use practices: Issues, trials, and critical reflections. </w:t>
      </w:r>
      <w:r>
        <w:rPr>
          <w:i/>
        </w:rPr>
        <w:t>Journal of Academic Writing, 14</w:t>
      </w:r>
      <w:r>
        <w:t>(1), 24-42. https://doi.org/10.18552/joaw.v14i1.1055</w:t>
      </w:r>
    </w:p>
    <w:p w14:paraId="42E71FA3" w14:textId="77777777" w:rsidR="00187E5B" w:rsidRDefault="00000000">
      <w:pPr>
        <w:spacing w:after="40"/>
        <w:ind w:left="720" w:hanging="720"/>
      </w:pPr>
      <w:r>
        <w:t xml:space="preserve">Sun, Y. (2023). Increasing critical language awareness through translingual practices in academic writing. </w:t>
      </w:r>
      <w:r>
        <w:rPr>
          <w:i/>
        </w:rPr>
        <w:t>Journal of English for Academic Purposes, 62</w:t>
      </w:r>
      <w:r>
        <w:t>, 101229. https://doi.org/10.1016/j.jeap.2023.101229</w:t>
      </w:r>
    </w:p>
    <w:p w14:paraId="37B58256" w14:textId="77777777" w:rsidR="00187E5B" w:rsidRDefault="00000000">
      <w:pPr>
        <w:spacing w:after="40"/>
        <w:ind w:left="720" w:hanging="720"/>
      </w:pPr>
      <w:r>
        <w:t xml:space="preserve">Swain, M. (1985). Communicative competence: Some roles of comprehensible input and comprehensible output in its development. In S. M. Gass &amp; C. G. Madden (Eds.), </w:t>
      </w:r>
      <w:r>
        <w:rPr>
          <w:i/>
        </w:rPr>
        <w:t>Input in second language acquisition</w:t>
      </w:r>
      <w:r>
        <w:t xml:space="preserve"> (pp. 235-253). Newbury House.</w:t>
      </w:r>
    </w:p>
    <w:p w14:paraId="4955FA14" w14:textId="77777777" w:rsidR="00187E5B" w:rsidRDefault="00000000">
      <w:pPr>
        <w:spacing w:after="40"/>
        <w:ind w:left="720" w:hanging="720"/>
      </w:pPr>
      <w:r>
        <w:t xml:space="preserve">Trinh, K. N., &amp; Pho, P. D. (2024). English academic writing through the lens of culture: Implications for current practices in Vietnam. </w:t>
      </w:r>
      <w:r>
        <w:rPr>
          <w:i/>
        </w:rPr>
        <w:t>Science &amp; Technology Development Journal, 27</w:t>
      </w:r>
      <w:r>
        <w:t>(SI), 56-63. https://doi.org/10.32508/stdj.v27iSI.4409</w:t>
      </w:r>
    </w:p>
    <w:p w14:paraId="0267AD22" w14:textId="77777777" w:rsidR="00187E5B" w:rsidRDefault="00000000">
      <w:pPr>
        <w:spacing w:after="40"/>
        <w:ind w:left="720" w:hanging="720"/>
      </w:pPr>
      <w:r>
        <w:t xml:space="preserve">Trinh, K. N., &amp; Pho, P. D. (2026). Information packaging constructions in academic writing: Observed patterns in Vietnamese EFL learners’ cause-effect essays. </w:t>
      </w:r>
      <w:r>
        <w:rPr>
          <w:i/>
        </w:rPr>
        <w:t>VNUHCM Journal of Social Sciences and Humanities, 10</w:t>
      </w:r>
      <w:r>
        <w:t>(2), 3769-3786. https://doi.org/10.32508/vnuhcmjssh.v10i2.1111</w:t>
      </w:r>
    </w:p>
    <w:p w14:paraId="5E6998FD" w14:textId="77777777" w:rsidR="00187E5B" w:rsidRDefault="00000000">
      <w:pPr>
        <w:spacing w:after="40"/>
        <w:ind w:left="720" w:hanging="720"/>
      </w:pPr>
      <w:r>
        <w:t xml:space="preserve">Truscott, J. (1996). The case against grammar correction in L2 writing classes. </w:t>
      </w:r>
      <w:r>
        <w:rPr>
          <w:i/>
        </w:rPr>
        <w:t>Language Learning, 46</w:t>
      </w:r>
      <w:r>
        <w:t>(2), 327-369. https://doi.org/10.1111/j.1467-1770.1996.tb01238.x</w:t>
      </w:r>
    </w:p>
    <w:p w14:paraId="141EFF20" w14:textId="77777777" w:rsidR="00187E5B" w:rsidRDefault="00000000">
      <w:pPr>
        <w:spacing w:after="40"/>
        <w:ind w:left="720" w:hanging="720"/>
      </w:pPr>
      <w:r>
        <w:t xml:space="preserve">Wang, C. (2025). Exploring students’ generative AI-assisted writing processes: Perceptions and experiences from native and nonnative English speakers. </w:t>
      </w:r>
      <w:r>
        <w:rPr>
          <w:i/>
        </w:rPr>
        <w:t>Technology, Knowledge and Learning, 30</w:t>
      </w:r>
      <w:r>
        <w:t>, 1825-1846. https://doi.org/10.1007/s10758-024-09744-3</w:t>
      </w:r>
    </w:p>
    <w:p w14:paraId="042E379C" w14:textId="77777777" w:rsidR="00187E5B" w:rsidRDefault="00000000">
      <w:pPr>
        <w:spacing w:after="40"/>
        <w:ind w:left="720" w:hanging="720"/>
      </w:pPr>
      <w:r>
        <w:t xml:space="preserve">Wang, W. (2024). The efficacy of written corrective feedback: Searching for the best predictors. </w:t>
      </w:r>
      <w:r>
        <w:rPr>
          <w:i/>
        </w:rPr>
        <w:t>International Journal of Applied Linguistics, 34</w:t>
      </w:r>
      <w:r>
        <w:t>(2), 484-500. https://doi.org/10.1111/ijal.12503</w:t>
      </w:r>
    </w:p>
    <w:p w14:paraId="7C180BFF" w14:textId="77777777" w:rsidR="00187E5B" w:rsidRDefault="00000000">
      <w:pPr>
        <w:spacing w:after="40"/>
        <w:ind w:left="720" w:hanging="720"/>
      </w:pPr>
      <w:r>
        <w:t xml:space="preserve">Warschauer, M., Tseng, W., Yim, S., Webster, T., Jacob, S. R., Du, Q., &amp; Tate, T. P. (2023). The affordances and contradictions of AI-generated text for writers of English as a second or foreign language. </w:t>
      </w:r>
      <w:r>
        <w:rPr>
          <w:i/>
        </w:rPr>
        <w:t>Journal of Second Language Writing, 62</w:t>
      </w:r>
      <w:r>
        <w:t>, 101071. https://doi.org/10.1016/j.jslw.2023.101071</w:t>
      </w:r>
    </w:p>
    <w:p w14:paraId="41913BE9" w14:textId="77777777" w:rsidR="00187E5B" w:rsidRDefault="00000000">
      <w:pPr>
        <w:spacing w:after="40"/>
        <w:ind w:left="720" w:hanging="720"/>
      </w:pPr>
      <w:r>
        <w:t xml:space="preserve">Yan, D., &amp; Zhang, S. (2024). L2 writer engagement with automated written corrective feedback provided by ChatGPT: A mixed-method multiple case study. </w:t>
      </w:r>
      <w:r>
        <w:rPr>
          <w:i/>
        </w:rPr>
        <w:t>Humanities and Social Sciences Communications, 11</w:t>
      </w:r>
      <w:r>
        <w:t>, 1086. https://doi.org/10.1057/s41599-024-03543-y</w:t>
      </w:r>
    </w:p>
    <w:p w14:paraId="7BB4204C" w14:textId="77777777" w:rsidR="00187E5B" w:rsidRDefault="00000000">
      <w:pPr>
        <w:spacing w:after="40"/>
        <w:ind w:left="720" w:hanging="720"/>
      </w:pPr>
      <w:r>
        <w:t xml:space="preserve">Zhang, X., Lu, X., &amp; Li, W. (2022). Beyond differences: Assessing effects of shared linguistic features on L2 writing quality of two genres. </w:t>
      </w:r>
      <w:r>
        <w:rPr>
          <w:i/>
        </w:rPr>
        <w:t>Applied Linguistics, 43</w:t>
      </w:r>
      <w:r>
        <w:t>(1), 168-195. https://doi.org/10.1093/applin/amab007</w:t>
      </w:r>
    </w:p>
    <w:p w14:paraId="48480ED3" w14:textId="77777777" w:rsidR="00187E5B" w:rsidRDefault="00000000">
      <w:pPr>
        <w:spacing w:after="40"/>
        <w:ind w:left="720" w:hanging="720"/>
      </w:pPr>
      <w:r>
        <w:t xml:space="preserve">Zhang, Z., &amp; Hyland, K. (2023). Student engagement with peer feedback in L2 writing: Insights from reflective journaling and revising practices. </w:t>
      </w:r>
      <w:r>
        <w:rPr>
          <w:i/>
        </w:rPr>
        <w:t>Assessing Writing, 58</w:t>
      </w:r>
      <w:r>
        <w:t>, 100784. https://doi.org/10.1016/j.asw.2023.100784</w:t>
      </w:r>
    </w:p>
    <w:sectPr w:rsidR="00187E5B" w:rsidSect="00FA3DE4">
      <w:footerReference w:type="default" r:id="rId8"/>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1E3D8" w14:textId="77777777" w:rsidR="00D94F0C" w:rsidRDefault="00D94F0C" w:rsidP="001A7CC6">
      <w:r>
        <w:separator/>
      </w:r>
    </w:p>
  </w:endnote>
  <w:endnote w:type="continuationSeparator" w:id="0">
    <w:p w14:paraId="2B842B02" w14:textId="77777777" w:rsidR="00D94F0C" w:rsidRDefault="00D94F0C"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761524"/>
      <w:docPartObj>
        <w:docPartGallery w:val="Page Numbers (Bottom of Page)"/>
        <w:docPartUnique/>
      </w:docPartObj>
    </w:sdtPr>
    <w:sdtEndPr>
      <w:rPr>
        <w:noProof/>
        <w:sz w:val="20"/>
        <w:szCs w:val="20"/>
      </w:rPr>
    </w:sdtEndPr>
    <w:sdtContent>
      <w:p w14:paraId="0DFFB22A" w14:textId="77777777"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AE0A1" w14:textId="77777777" w:rsidR="00D94F0C" w:rsidRDefault="00D94F0C" w:rsidP="001A7CC6">
      <w:r>
        <w:separator/>
      </w:r>
    </w:p>
  </w:footnote>
  <w:footnote w:type="continuationSeparator" w:id="0">
    <w:p w14:paraId="4D931715" w14:textId="77777777" w:rsidR="00D94F0C" w:rsidRDefault="00D94F0C" w:rsidP="001A7C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17C67"/>
    <w:rsid w:val="000C6126"/>
    <w:rsid w:val="000F5CA9"/>
    <w:rsid w:val="00137F23"/>
    <w:rsid w:val="001575FE"/>
    <w:rsid w:val="00187E5B"/>
    <w:rsid w:val="00193BB5"/>
    <w:rsid w:val="001945F2"/>
    <w:rsid w:val="001A7CC6"/>
    <w:rsid w:val="001B2D3A"/>
    <w:rsid w:val="00246DC6"/>
    <w:rsid w:val="002C6E03"/>
    <w:rsid w:val="002E5453"/>
    <w:rsid w:val="002F0AD8"/>
    <w:rsid w:val="003346C0"/>
    <w:rsid w:val="00357368"/>
    <w:rsid w:val="0039291F"/>
    <w:rsid w:val="003B3F15"/>
    <w:rsid w:val="003C683B"/>
    <w:rsid w:val="003E26A8"/>
    <w:rsid w:val="003E3810"/>
    <w:rsid w:val="003F603E"/>
    <w:rsid w:val="0041490C"/>
    <w:rsid w:val="004557C0"/>
    <w:rsid w:val="004818F3"/>
    <w:rsid w:val="00497AE6"/>
    <w:rsid w:val="004C0CC6"/>
    <w:rsid w:val="004E0696"/>
    <w:rsid w:val="005241C7"/>
    <w:rsid w:val="00535B97"/>
    <w:rsid w:val="005C13DB"/>
    <w:rsid w:val="005D3DB4"/>
    <w:rsid w:val="006700E9"/>
    <w:rsid w:val="00670181"/>
    <w:rsid w:val="00713BEB"/>
    <w:rsid w:val="007579CA"/>
    <w:rsid w:val="00765881"/>
    <w:rsid w:val="007667D5"/>
    <w:rsid w:val="007A1C93"/>
    <w:rsid w:val="007A210E"/>
    <w:rsid w:val="00814064"/>
    <w:rsid w:val="008166D5"/>
    <w:rsid w:val="008B02B7"/>
    <w:rsid w:val="008C5A6C"/>
    <w:rsid w:val="008E5B99"/>
    <w:rsid w:val="009146F3"/>
    <w:rsid w:val="00933484"/>
    <w:rsid w:val="00963157"/>
    <w:rsid w:val="00A25204"/>
    <w:rsid w:val="00AC1F47"/>
    <w:rsid w:val="00B865DF"/>
    <w:rsid w:val="00B944A1"/>
    <w:rsid w:val="00C552EF"/>
    <w:rsid w:val="00D43523"/>
    <w:rsid w:val="00D769F1"/>
    <w:rsid w:val="00D82627"/>
    <w:rsid w:val="00D94F0C"/>
    <w:rsid w:val="00DC1712"/>
    <w:rsid w:val="00DE03F8"/>
    <w:rsid w:val="00E00B12"/>
    <w:rsid w:val="00E0453E"/>
    <w:rsid w:val="00E25C4B"/>
    <w:rsid w:val="00EB4ADA"/>
    <w:rsid w:val="00EC2559"/>
    <w:rsid w:val="00EC303D"/>
    <w:rsid w:val="00F274CC"/>
    <w:rsid w:val="00F37B55"/>
    <w:rsid w:val="00F556B9"/>
    <w:rsid w:val="00F85231"/>
    <w:rsid w:val="00FA3DE4"/>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8EC23"/>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670896">
      <w:bodyDiv w:val="1"/>
      <w:marLeft w:val="0"/>
      <w:marRight w:val="0"/>
      <w:marTop w:val="0"/>
      <w:marBottom w:val="0"/>
      <w:divBdr>
        <w:top w:val="none" w:sz="0" w:space="0" w:color="auto"/>
        <w:left w:val="none" w:sz="0" w:space="0" w:color="auto"/>
        <w:bottom w:val="none" w:sz="0" w:space="0" w:color="auto"/>
        <w:right w:val="none" w:sz="0" w:space="0" w:color="auto"/>
      </w:divBdr>
    </w:div>
    <w:div w:id="145451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15</Pages>
  <Words>7227</Words>
  <Characters>41194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Adaptive Grammatical Control in Multilingual Academic Writing: An Integrative Review with Vietnamese EFL Illustrations</dc:title>
  <dc:subject>Critical review article for the Journal of Language Teaching and Learning Today</dc:subject>
  <dc:creator>Vo Tan Thanh</dc:creator>
  <cp:keywords>academic writing, grammatical accuracy, generative AI, multilingual writers, written feedback</cp:keywords>
  <dc:description/>
  <cp:lastModifiedBy>Administrator</cp:lastModifiedBy>
  <cp:revision>47</cp:revision>
  <dcterms:created xsi:type="dcterms:W3CDTF">2024-12-15T11:19:00Z</dcterms:created>
  <dcterms:modified xsi:type="dcterms:W3CDTF">2026-07-22T11:15:00Z</dcterms:modified>
  <cp:category>Critical review article</cp:category>
</cp:coreProperties>
</file>